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St Margaret's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Margaret's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September 2019</w:t>
      </w:r>
      <w:bookmarkEnd w:id="7"/>
      <w:r w:rsidRPr="009418D4">
        <w:rPr>
          <w:rFonts w:cs="Arial"/>
        </w:rPr>
        <w:tab/>
        <w:t xml:space="preserve">End date: </w:t>
      </w:r>
      <w:bookmarkStart w:id="8" w:name="AuditEndDate"/>
      <w:r w:rsidR="00A4268A">
        <w:rPr>
          <w:rFonts w:cs="Arial"/>
        </w:rPr>
        <w:t>27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Margaret’s is part of the CHT group of facilities.  The facility is purpose-built providing three levels of care (hospital – geriatric/medical, residential disability, rest home and dementia) for up to 87 residents.  On the day of audit there were 85 residents.  The residents and relatives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 xml:space="preserve">There were no areas for improvement identified at this audit. </w:t>
      </w:r>
    </w:p>
    <w:p w:rsidRPr="00A4268A">
      <w:pPr>
        <w:spacing w:before="240" w:line="276" w:lineRule="auto"/>
        <w:rPr>
          <w:rFonts w:eastAsia="Calibri"/>
        </w:rPr>
      </w:pPr>
      <w:r w:rsidRPr="00A4268A">
        <w:rPr>
          <w:rFonts w:eastAsia="Calibri"/>
        </w:rPr>
        <w:t>The service is commended for achieving continuous improvement ratings around activities, nutrition, restraint minimisation and infection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Family stated they are kept well informed on their relative’s health status.  Residents are encouraged to maintain links with the community.  Complaints processes are implemented, and complaints and concerns are managed appropriately.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St Margaret’s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demonstrated service integration and are reviewed at least six monthly.  Resident files included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healthcare assistants responsible for the administration of medicines complete education and medication competencies.  Medication charts are reviewed three monthly by the general practitioner.</w:t>
      </w:r>
    </w:p>
    <w:p w:rsidRPr="00A4268A" w:rsidP="00621629">
      <w:pPr>
        <w:spacing w:before="240" w:line="276" w:lineRule="auto"/>
        <w:rPr>
          <w:rFonts w:eastAsia="Calibri"/>
        </w:rPr>
      </w:pPr>
      <w:r w:rsidRPr="00A4268A">
        <w:rPr>
          <w:rFonts w:eastAsia="Calibri"/>
        </w:rPr>
        <w:t>The activities coordinator’s and staff implement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There are nutritious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All residents’ rooms have ensuites and there are sufficient communal showers/toilets. External areas are safe and well maintained with shade and seating available.  Fixtures, fittings and flooring are appropriate.  Toilet/shower facilities are constructed for ease of resident access and ease of cleaning.  Cleaning and laundry services are monitored through the internal auditing system and surveys.  Appropriate training, information and equipment for responding to emergencies are provided.  There is an approved evacuation scheme and emergency supplies for at least three days.  There is a trained first aider on duty 24 hours.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There are policies and procedures on safe restraint use and enablers.  A registered nurse is the restraint coordinator.  On the day of the audit, there were two residents with restraints in use (bed rails) and four residents with a lap belt as an enabler.  Staff receive training around restraint and challenging behaviours.  Assessment, monitoring and evaluation is well documented.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(clinical coordinator) is responsible for coordinating education and training for staff.  The infection control coordinator has completed annual external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r w:rsidRPr="00A4268A">
        <w:rPr>
          <w:rFonts w:eastAsia="Calibri"/>
        </w:rPr>
        <w:t xml:space="preserv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4</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1"/>
        <w:gridCol w:w="1280"/>
        <w:gridCol w:w="10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around resident rights.  Discussion with nine healthcare assistants, one clinical coordinator and three registered nurses (RN), one enrolled nurse (EN), and two activities staff identified that they are aware of The Health and Disability Commissioner Code of Health and Disability Services Consumers’ Rights (the Code)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Informed consents for photographs, release of medical information, outings, flu vaccinations and medical cares were signed.  Discussions with registered nurses confirmed that staff understand the importance of obtaining informed consent for providing personal care and accessing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Enduring power of attorney (EPOA) evidence was filed in the residents’ electronic charts and activated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for health care including resuscitation status had been completed where residents were deemed to be competent.  Where residents were deemed incompetent to make a resuscitation decision the GP had made a medically indicated resuscitation decision.  There was documented evidence of discussion with the family.   Resident files showed evidence that where appropriate the service actively involved family/whānau in decisions that affected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Resident advocates are identified during the admission process.  Pamphlets on advocacy services are available at the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their understanding of the availability of advocacy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confirmed that family and friends are able to visit at any time and visitors were observed attending the home.  Residents and relatives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policy/procedure in place and the complaints process is provided to residents and relatives on entry to the service, complaints forms are available to residents and relatives.  A record of all complaints is maintained on the on-line complaint register.  The facility manager manages complaints.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all residents and relatives confirmed their understanding of the complaints process.  Staff interviewed were able to describe the process around reporting complaints and discussion around concerns, complaints and compliments are evident in facility meeting minutes.  Discussion around concerns, complaints and compliments are evident in facility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Complaints are being managed in a timely manner, meeting requirements determined by the Health and Disability Commissioner (HDC).  There is evidence of lodged complaints being discussed in manager and staff meetings.  Nineteen complaints for 2018 and 11 complaints from 2019 year to date have been documented as resolved with appropriate corrective actions implemented.</w:t>
            </w:r>
          </w:p>
          <w:p w:rsidR="00EB7645" w:rsidRPr="00BE00C7" w:rsidP="00BE00C7">
            <w:pPr>
              <w:pStyle w:val="OutcomeDescription"/>
              <w:spacing w:before="120" w:after="120"/>
              <w:rPr>
                <w:rFonts w:cs="Arial"/>
                <w:b w:val="0"/>
                <w:lang w:eastAsia="en-NZ"/>
              </w:rPr>
            </w:pPr>
            <w:r w:rsidRPr="00BE00C7">
              <w:rPr>
                <w:rFonts w:cs="Arial"/>
                <w:b w:val="0"/>
                <w:lang w:eastAsia="en-NZ"/>
              </w:rPr>
              <w:t>Of the complaints reviewed, one complaint was lodged with the HDC advocacy service (March 2018) and remains open.  No complaints were lodged with the HDC Commissioner since the previous audit.  The Ministry requested follow up against aspects of a complaint that included training and wound management. There were no identified issues in respect of this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information available on The Health and Disability Commissioner Code of Health and Disability Services Consumers’ Rights (the Code) at the main entrance to the facility.  The Code (English and te reo Māori) is also displayed in the resident areas.  There is a welcome information folder that includes information about the Code.  The resident, family or legal representative has the opportunity to discuss this prior to entry and/or at admission with the clinical manager.  Nine residents (five rest home including one YPD respite and four hospital level of care) and nine relatives (seven hospital level, one rest home and one dementia level of care) interviewed, confirmed that information has been provided around the code of rights.  Residents stated that their rights are respected when receiving services and care.  Residents and relatives stated they receive sufficient verbal and written information to be able to make informed choices on matters that affect them.  There is specific information around dementia care provided to relatives and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could describe how they maintain resident privacy, including knocking on the residents’ doors before entering, as observed on the day of audit.  Education around privacy and dignity, prevention of abuse and neglect in-service is provided as part of the education plan.  Resident’s cultural, social, religious and spiritual beliefs are identified on admission and included in the resident’s care plan/activity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cultural awareness policies and a Māori health plan to guide staff in the delivery of culturally safe care.  A Māori staff member provides blessings for the site and prayers as needed.  There were three residents who identify as Māori on the day of audit.  Resident files included interventions related to Māori culture, tribal affiliations and whānau.  Local kapa haka groups visit St Margaret’s.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culturally appropriate service by identifying any cultural needs as part of the assessment and planning process.  Care plans are reviewed at least six monthly to ensure the resident’s individual culture, values and beliefs are being met.  The service caters for a number of different ethnicities including Māori, Chinese, Samoan, Tongan and eastern European.  Care plans reviewed included specific interventions related to individual residents cultural and spiritual needs.  Staff recognise and respond to values, beliefs and cultural differences.  Residents are supported to maintain their spiritual needs with weekly church services and visiting clergy who provide pastoral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meets best practice with regard to recruitment, including reference checks and police vetting.  Professional boundaries are defined in job descriptions.  Staff were observed to be professional within the culture of a family environment.  Caregivers interviewed were able to describe how they recognise and report any suspected abuse and the service’s zero tolerance policy.  Residents interviewed stated that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policies and procedures that provide a good level of assurance that it is adhering to relevant standards.  Healthcare assistants and registered nurses (RNs) have access to internal and external education opportunities.  The service is promoting the attainment of NZ qualifications standards with five on site assessors employed at St Margaret’s.  Six Healthcare assistants are trained as Careerforce observers.  Regular facility and clinical meetings and shift handovers enhance communication between the teams and provide consistency of care.  The service has quality teams with an RN as a team leader around wound care, falls prevention, a nutrition programme (REAP), infection control, continence, pressure injury prevention management and restraint prevention.  These have been effective at maintaining high standards at other CHT facilities for the manager.  The service employs a physiotherapist for eight hours per week over one dedicated day, who assesses all new residents and completes resident mobility assessments and fall reviews.  The physiotherapist provides safe manual handling training for staff every two months.  The service has contributed towards positive resident outcomes by implementing monthly multi-disciplinary meetings incorporating polypharmacy and drug rationalisation reducing adverse medication effects.  All residents and families speak positively about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Relatives/residents are aware of the open-door policy and confirmed on interview that the staff and management are approachable and available.  Residents/relatives have the opportunity to feedback on service delivery through resident meetings and annual surveys.  The resident meetings are bi-monthly and are attended by the kitchen manager and external speakers.  Residents and relatives receive seasonal newsletters four times a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reviewed documented that relatives have been notified of the incident.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Margaret’s is part of the CHT group of facilities.  The building is a purpose-built single level facility providing hospital – geriatric/medical, rest home, dementia and younger persons with a disability care (YPD) for up to 87 residents.  On the day of audit there were 85 residents cared for across seven dual-purpose units and one 20 bed dementia unit.  There were 57 hospital residents including three on YPD contracts (one of whom was on an interim care contract) and one on an ACC contract, nine rest home level residents including one YPD on a respite contract in the dual-purpose units and 19 residents in the 20-bed secure dementia unit.  All other residents were under the age-related residential care services agreement.  The organisation has a philosophy of care, which includes a mission statement.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who has been in the role for five years, has postgraduate qualifications related to facility management and regularly attends monthly CHT management training in Auckland.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is a registered nurse who was appointed to her role in 2016.  She is currently completing a master’s qualification and regularly attends CHT training. All competencies and training requirements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reports to the area manager weekly on a variety of operational issues.  The unit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CHT strategic plan includes business plan targets for 2019.  St Margaret’s has set a number of quality goals and these also link to the organisation’s strategic goals.  The unit managers performance plan is aligned to CHTs strategy and business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the clinical coordinator will provide management oversight of the facility with the support of the area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performance plan for the facility includes quality goals (strategic themes) with associated actions, milestones and dates achieved.  The unit manager advised that she is responsible for providing oversight of the quality programme.  Interviews with staff confirmed their familiarity with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and updated at the organisational level.  New policies or changes to policy are communicated to staff in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data (eg, falls, laundry incidents, property incidents, complaints, staff incidents, medication errors) are collected, collated and analysed at head office and shared with staff at health and safety/quality and staff meetings.  A comprehensive internal audit that covers all aspects of the service against the health and disability sector standards is completed six-monthly by the area manager (last completed March 2019 and October 2018).  There was evidence in the staff meetings in 2019 to verify staff were informed of the internal audit results.  Other audits including infection control and restraint are also completed as per the internal audit schedule.  The data is analysed, and trends are identified through a comprehensive data management system.  Monthly comparisons including benchmarking against other CHT facilities include trend analysis and graphs.  Areas of non-compliance identified through quality activities are actioned for improvement.  Interviews with staff confirmed that quality data including trends, are discussed at monthly staff/quality meetings to which all staff are invited.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surveys are regularly sent to residents and family.  Survey results are collated, trended and analysed and results are shared with staff and family at meetings and minuted.  Interview with family confirmed that individual concerns and opportunities for improvement are addressed.</w:t>
            </w:r>
          </w:p>
          <w:p w:rsidR="00EB7645" w:rsidRPr="00BE00C7" w:rsidP="00BE00C7">
            <w:pPr>
              <w:pStyle w:val="OutcomeDescription"/>
              <w:spacing w:before="120" w:after="120"/>
              <w:rPr>
                <w:rFonts w:cs="Arial"/>
                <w:b w:val="0"/>
                <w:lang w:eastAsia="en-NZ"/>
              </w:rPr>
            </w:pPr>
            <w:r w:rsidRPr="00BE00C7">
              <w:rPr>
                <w:rFonts w:cs="Arial"/>
                <w:b w:val="0"/>
                <w:lang w:eastAsia="en-NZ"/>
              </w:rPr>
              <w:t>Bi-monthly health and safety/quality meetings alternate with full staff meetings and minutes document discussions around accident/incident data, health and safety, infection control, and concerns.  Minutes are available for staff to read in a folder at the nurses’ station.  Clinical meetings are held monthly and minutes reported discussion around falls prevention, continence, wound care, weight, nutrition (REAP), restraint and infection control.  Resident/family meetings take place on a bi-monthly basis.</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(RN) and review of health and safety documentation confirmed that legislative requirements are being upheld.  External contractors and all new staff have been orientated to the facility’s health and safety programme.  The hazard register was up to date and is regularly monitored by the health and safety officer.  The facility is currently undergoing internal repainting.  A management plan ensuring resident safety included resident and family notifications and alternative accommodation while rooms were undergoing renovations.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in place to reduce the number of residents’ falls.  All new residents and residents who have experienced a fall are assessed by a physiotherapist and individual plans to minimise future falls are implemented.  Sensor mats are used for those residents who are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which are collated monthly and are discussed at the staff meetings, 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clinical coordinator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could describe situations that would require reporting to relevant authorities.  There have been six section 31 reports to the Ministry of Health since the previous audit including three pressure injuries, one RN rostering and two other.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are retained.  Nine staff files (one clinical coordinator/RN, two staff RNs, four HCAs, one diversional therapist and one activities coordinator) reviewed, evidenced implementation of the recruitment process, employment contracts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were able to describe the orientation process and remarked that new staff were adequately orientated to the service.  Evidence of an orientation programme being completed was sighted in the staff files reviewed of staff who had been hired by CHT.</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is being implemented that includes in services and completion of online education modules.  Training includes specific education related to caring for younger people.  The competency programme is ongoing with different requirements according to work type.  The unit manager, clinical coordinator and registered nurses are able to attend external training, including sessions provided by the local DHB.  Over eighty percent of the healthcare assistants have attained NZ standards qualifications.  Eight of the ten registered nurses employed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Of the 15 healthcare assistants working in the dementia unit, seven have completed required dementia standards.  Six HCAs are enrolled for required dementia units and have commenced employment in the unit within the last six months.  One recently employed HCA has not yet enrolled.  All RNs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to determine staffing levels and skill mixes for safe service delivery.  There is a roster that provides sufficient and appropriate coverage for the effective delivery of care and support.  The manager and clinical coordinator are on duty during the day Monday to Friday.  Both share the on-call requirement for clinical concerns month about with the second on call providing backup.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seven suites (each suite has either 8, 9 or 10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are staffed according to suites.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are adequate staff on duty at all times.  Staff stated they feel supported by the management team who respond quickly to after hour calls.  </w:t>
            </w:r>
          </w:p>
          <w:p w:rsidR="00EB7645" w:rsidRPr="00BE00C7" w:rsidP="00BE00C7">
            <w:pPr>
              <w:pStyle w:val="OutcomeDescription"/>
              <w:spacing w:before="120" w:after="120"/>
              <w:rPr>
                <w:rFonts w:cs="Arial"/>
                <w:b w:val="0"/>
                <w:lang w:eastAsia="en-NZ"/>
              </w:rPr>
            </w:pPr>
            <w:r w:rsidRPr="00BE00C7">
              <w:rPr>
                <w:rFonts w:cs="Arial"/>
                <w:b w:val="0"/>
                <w:lang w:eastAsia="en-NZ"/>
              </w:rPr>
              <w:t>Across the facility, there are three RNs working morning shifts (three long shifts) and three RNs on afternoon shift (two long and one short) and one RN on night shift.</w:t>
            </w:r>
          </w:p>
          <w:p w:rsidR="00EB7645" w:rsidRPr="00BE00C7" w:rsidP="00BE00C7">
            <w:pPr>
              <w:pStyle w:val="OutcomeDescription"/>
              <w:spacing w:before="120" w:after="120"/>
              <w:rPr>
                <w:rFonts w:cs="Arial"/>
                <w:b w:val="0"/>
                <w:lang w:eastAsia="en-NZ"/>
              </w:rPr>
            </w:pPr>
            <w:r w:rsidRPr="00BE00C7">
              <w:rPr>
                <w:rFonts w:cs="Arial"/>
                <w:b w:val="0"/>
                <w:lang w:eastAsia="en-NZ"/>
              </w:rPr>
              <w:t>There are two activities staff on Monday to Friday and one activity staff for the whole facility in the weekend.</w:t>
            </w:r>
          </w:p>
          <w:p w:rsidR="00EB7645" w:rsidRPr="00BE00C7" w:rsidP="00BE00C7">
            <w:pPr>
              <w:pStyle w:val="OutcomeDescription"/>
              <w:spacing w:before="120" w:after="120"/>
              <w:rPr>
                <w:rFonts w:cs="Arial"/>
                <w:b w:val="0"/>
                <w:lang w:eastAsia="en-NZ"/>
              </w:rPr>
            </w:pPr>
            <w:r w:rsidRPr="00BE00C7">
              <w:rPr>
                <w:rFonts w:cs="Arial"/>
                <w:b w:val="0"/>
                <w:lang w:eastAsia="en-NZ"/>
              </w:rPr>
              <w:t>There are four HCAs and one RN on night shift across the six-rest home and hospital suites.  There is one HCA rostered in the Sunflower dementia unit at night.</w:t>
            </w:r>
          </w:p>
          <w:p w:rsidR="00EB7645" w:rsidRPr="00BE00C7" w:rsidP="00BE00C7">
            <w:pPr>
              <w:pStyle w:val="OutcomeDescription"/>
              <w:spacing w:before="120" w:after="120"/>
              <w:rPr>
                <w:rFonts w:cs="Arial"/>
                <w:b w:val="0"/>
                <w:lang w:eastAsia="en-NZ"/>
              </w:rPr>
            </w:pPr>
            <w:r w:rsidRPr="00BE00C7">
              <w:rPr>
                <w:rFonts w:cs="Arial"/>
                <w:b w:val="0"/>
                <w:lang w:eastAsia="en-NZ"/>
              </w:rPr>
              <w:t>Suite A – 10 beds (9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- 2 HCAs (one long shift, one short)</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 and 1 HCA floater 4 pm – 8 pm between suite A, B, C</w:t>
            </w:r>
          </w:p>
          <w:p w:rsidR="00EB7645" w:rsidRPr="00BE00C7" w:rsidP="00BE00C7">
            <w:pPr>
              <w:pStyle w:val="OutcomeDescription"/>
              <w:spacing w:before="120" w:after="120"/>
              <w:rPr>
                <w:rFonts w:cs="Arial"/>
                <w:b w:val="0"/>
                <w:lang w:eastAsia="en-NZ"/>
              </w:rPr>
            </w:pPr>
            <w:r w:rsidRPr="00BE00C7">
              <w:rPr>
                <w:rFonts w:cs="Arial"/>
                <w:b w:val="0"/>
                <w:lang w:eastAsia="en-NZ"/>
              </w:rPr>
              <w:t>Suite B – 10 beds (9 hospital &amp; 1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- 2 HCAs (one long,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PM shift – 1 HCA (one long shift) </w:t>
            </w:r>
          </w:p>
          <w:p w:rsidR="00EB7645" w:rsidRPr="00BE00C7" w:rsidP="00BE00C7">
            <w:pPr>
              <w:pStyle w:val="OutcomeDescription"/>
              <w:spacing w:before="120" w:after="120"/>
              <w:rPr>
                <w:rFonts w:cs="Arial"/>
                <w:b w:val="0"/>
                <w:lang w:eastAsia="en-NZ"/>
              </w:rPr>
            </w:pPr>
            <w:r w:rsidRPr="00BE00C7">
              <w:rPr>
                <w:rFonts w:cs="Arial"/>
                <w:b w:val="0"/>
                <w:lang w:eastAsia="en-NZ"/>
              </w:rPr>
              <w:t>Suite C – 10 beds (10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- 2 HCAs (one long shift, one short)</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w:t>
            </w:r>
          </w:p>
          <w:p w:rsidR="00EB7645" w:rsidRPr="00BE00C7" w:rsidP="00BE00C7">
            <w:pPr>
              <w:pStyle w:val="OutcomeDescription"/>
              <w:spacing w:before="120" w:after="120"/>
              <w:rPr>
                <w:rFonts w:cs="Arial"/>
                <w:b w:val="0"/>
                <w:lang w:eastAsia="en-NZ"/>
              </w:rPr>
            </w:pPr>
            <w:r w:rsidRPr="00BE00C7">
              <w:rPr>
                <w:rFonts w:cs="Arial"/>
                <w:b w:val="0"/>
                <w:lang w:eastAsia="en-NZ"/>
              </w:rPr>
              <w:t>Suite D- 10 beds (9 hospital &amp; 1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  AM shift - 3 HCAs (two long,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  PM shift – 2 HCA (two long shift) and 1 HCA floater 4 pm – 8 pm between suite D, E</w:t>
            </w:r>
          </w:p>
          <w:p w:rsidR="00EB7645" w:rsidRPr="00BE00C7" w:rsidP="00BE00C7">
            <w:pPr>
              <w:pStyle w:val="OutcomeDescription"/>
              <w:spacing w:before="120" w:after="120"/>
              <w:rPr>
                <w:rFonts w:cs="Arial"/>
                <w:b w:val="0"/>
                <w:lang w:eastAsia="en-NZ"/>
              </w:rPr>
            </w:pPr>
            <w:r w:rsidRPr="00BE00C7">
              <w:rPr>
                <w:rFonts w:cs="Arial"/>
                <w:b w:val="0"/>
                <w:lang w:eastAsia="en-NZ"/>
              </w:rPr>
              <w:t>Suite E – 10 beds (9 hospital &amp; 1 rest home hospital)</w:t>
            </w:r>
          </w:p>
          <w:p w:rsidR="00EB7645" w:rsidRPr="00BE00C7" w:rsidP="00BE00C7">
            <w:pPr>
              <w:pStyle w:val="OutcomeDescription"/>
              <w:spacing w:before="120" w:after="120"/>
              <w:rPr>
                <w:rFonts w:cs="Arial"/>
                <w:b w:val="0"/>
                <w:lang w:eastAsia="en-NZ"/>
              </w:rPr>
            </w:pPr>
            <w:r w:rsidRPr="00BE00C7">
              <w:rPr>
                <w:rFonts w:cs="Arial"/>
                <w:b w:val="0"/>
                <w:lang w:eastAsia="en-NZ"/>
              </w:rPr>
              <w:t>•  AM shift - 2 HCAs (one long shift, one short)</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Suite F and Suite G (11 hospital and 6 rest home residents on the day)  </w:t>
            </w:r>
          </w:p>
          <w:p w:rsidR="00EB7645" w:rsidRPr="00BE00C7" w:rsidP="00BE00C7">
            <w:pPr>
              <w:pStyle w:val="OutcomeDescription"/>
              <w:spacing w:before="120" w:after="120"/>
              <w:rPr>
                <w:rFonts w:cs="Arial"/>
                <w:b w:val="0"/>
                <w:lang w:eastAsia="en-NZ"/>
              </w:rPr>
            </w:pPr>
            <w:r w:rsidRPr="00BE00C7">
              <w:rPr>
                <w:rFonts w:cs="Arial"/>
                <w:b w:val="0"/>
                <w:lang w:eastAsia="en-NZ"/>
              </w:rPr>
              <w:t>•  AM shift 3 HCAs (two long,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  PM shift – 1 HCA (one long shift); 1 HCA floater 4 pm – 8 pm between suite F &amp; G</w:t>
            </w:r>
          </w:p>
          <w:p w:rsidR="00EB7645" w:rsidRPr="00BE00C7" w:rsidP="00BE00C7">
            <w:pPr>
              <w:pStyle w:val="OutcomeDescription"/>
              <w:spacing w:before="120" w:after="120"/>
              <w:rPr>
                <w:rFonts w:cs="Arial"/>
                <w:b w:val="0"/>
                <w:lang w:eastAsia="en-NZ"/>
              </w:rPr>
            </w:pPr>
            <w:r w:rsidRPr="00BE00C7">
              <w:rPr>
                <w:rFonts w:cs="Arial"/>
                <w:b w:val="0"/>
                <w:lang w:eastAsia="en-NZ"/>
              </w:rPr>
              <w:t>Sunflower 20 beds (19 dementia)</w:t>
            </w:r>
          </w:p>
          <w:p w:rsidR="00EB7645" w:rsidRPr="00BE00C7" w:rsidP="00BE00C7">
            <w:pPr>
              <w:pStyle w:val="OutcomeDescription"/>
              <w:spacing w:before="120" w:after="120"/>
              <w:rPr>
                <w:rFonts w:cs="Arial"/>
                <w:b w:val="0"/>
                <w:lang w:eastAsia="en-NZ"/>
              </w:rPr>
            </w:pPr>
            <w:r w:rsidRPr="00BE00C7">
              <w:rPr>
                <w:rFonts w:cs="Arial"/>
                <w:b w:val="0"/>
                <w:lang w:eastAsia="en-NZ"/>
              </w:rPr>
              <w:t>•  AM shift - 3 HCAs (two long shifts, one short)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PM shift – 1 HCA (two long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acuity was reported to be evenly spread throughout the facility.  Staffing can be flexible to cover changes in acuity.  Extra staff can be called on for increased resident requirements.  A stable staff means there are a sufficient number of experienced staff to cover each shift.  Interviews with staff, residents and family members identified that staffing is adequate to meet the needs of residents.  Staff confirmed on interview that management are responsive to after 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admission information packs on rest home and hospital level of care and services available are provided for families and residents prior to admission or on entry to the service.  Admission agreements reviewed were signed and aligned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transfer/discharge/exit policy and procedures in place.  The procedures include a transfer/discharge form and ‘the yellow envelope’ is used.  The RNs reported that they include copies of all the required information in the envelope.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robotic sachet system.  Medications are checked on arrival and any pharmacy errors recorded and fed back to the supplying pharmacy.  Registered nurses, the enrolled nurse and medication competent carers administer medications in the hospital, rest home and dementia care unit.  Medication competencies are updated annually, and staff attend annual education.  Registered nurses have syringe driver training completed by the hospice.  The medication fridge temperature is checked daily.  Eye drops are dated once opened.  There were no residents self-medicating on the day of the audit, policies and procedures were in place in the event that residents were self-medicating; with medications being kept in locked drawers; and the requirement for residents to be deemed competent.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use an electronic medication management system and sign for the administration of medications.  Twenty medication charts were reviewed.  Medications have been reviewed at least three monthly by the GP.  Photo ID and allergy status are recorded.  ‘As required’ medications have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contract company to provide all meals.  There is a food control plan in place which expires on 20 April 2020.  There are two cooks who, between them, cover all shifts.  There are also two kitchenhands on during the day.  All have current food safety certificates.  The head cook oversees the procurement of the food and management of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meals are cooked on site.  Meals are served directly from a mobile hot box in all dining rooms.  Special equipment such as lipped plates are available.  On the day of audit, meals were observed to be well presented.  There is a kitchen manual and a range of policies and procedures to safely manage the kitchen and meal services.  Audits are implemented to monitor performance.  Kitchen fridge and freezer temperatures are monitored and recorded daily.  Food temperatures are checked at all meals.  These were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are noted on a kitchen whiteboard.  The four-weekly seasonal menu cycle is written and approved by an external dietitian.  Meals in the dementia facility are served on coloured plates to enhance presentation.  Additional snacks are always available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manager, clinical coordinator and registered nurses described the “Replenish, Energy and Protein” (REAP) programme, a New Zealand-wide initiative that has been implemented to enhance the nutritional status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resident/families interviewed were happy with the meals.  The chef manager advised she attends resident meetings and speaks with resident’s one-to-one to gain feedback on food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Files contained appropriate assessment tools and assessments that had been reviewed at least six monthly or when there was a change to a resident’s health condition.  The interRAI assessment tool was implemented and completed for all long-term residents under the Age-Related Residential Contract (ARC).  Care plans sampled had been developed based on these assessments. </w:t>
            </w:r>
          </w:p>
          <w:p w:rsidR="00EB7645" w:rsidRPr="00BE00C7" w:rsidP="00BE00C7">
            <w:pPr>
              <w:pStyle w:val="OutcomeDescription"/>
              <w:spacing w:before="120" w:after="120"/>
              <w:rPr>
                <w:rFonts w:cs="Arial"/>
                <w:b w:val="0"/>
                <w:lang w:eastAsia="en-NZ"/>
              </w:rPr>
            </w:pPr>
            <w:r w:rsidRPr="00BE00C7">
              <w:rPr>
                <w:rFonts w:cs="Arial"/>
                <w:b w:val="0"/>
                <w:lang w:eastAsia="en-NZ"/>
              </w:rPr>
              <w:t>Assessments for wounds and pressure injuries included details of wound characteristics and dimensions.  Photographs for some wounds were evident on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ten resident files reviewed identified that care plans were resident-focused.  Care plans reviewed evidenced multidisciplinary involvement in the care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(STCPs) were in use for changes in health status and wounds and pressure injuries.  The auditor reviewed wound management plans for the 24 wounds and one pressure injury.  STCPs reviewed had been evaluated on a regular basis and signed off as resolved or transferred to the long-term care plan if there was an ongoing problem.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service integration with documented input from a range of specialist care professionals including: the wound care specialist nurse, GP, podiatrist, physiotherapist, dietitian and mental health care team for older people.  The care staff advised that the care plans are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will initiate a GP consultation.  Staff stated they notify family members about any changes in their relative’s health status.  All long-term care plans sampled, had interventions documented.  Care plans had been updated as residents’ needs changed.  Resident falls were reported on incident forms and written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were in place for all wounds.  Wound monitoring occurred as planned.  On the day of the audit there were 18 wounds in the hospital, six wounds in the dementia unit and no wounds in the rest home.  There was a facility acquired pressure injury in the hospital, this was healing and on the day of the audit it was a grade two.  It had previously been a grade three and a section 31 had been completed and submitted.  The facility had accessed wound care specialist advice for this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pain, activities, wounds and neurological observations as required.  Behaviour charts are used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activities coordinators, they cover seven days a week and lead the activities.  Caregivers also provide some of the activities.  The dementia unit has a dedicated activities programme which is facilitated by the activity coordinator and caregivers.  On the days of audit residents went on a bus trip and later watched a seventy’s movie.  The theme for the month was the “1970s”.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in all areas.  Residents have the choice of a variety of activities in which they can participate.  These include (but are not limited to) exercises, walks outside, gardening, balloon tennis, crafts, games and quizzes.  There are weekly bible class services.  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outings twice a week, the facility hires a wheelchair accessible van for this.  There are regular entertainers visiting the facility.  Special events like birthdays, Easter, Mothers’ Day and Anzac Day are celebrated.  Visiting community groups include choirs, library, kindergartens, children’s groups, children’s music school, canine friends, SPCA and Pets Assisting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month has become an annual occurrence at St Margaret’s which has created positive outcomes for residents, their families, staff and the community.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unit have resident-specific activity plans in place.  Caregivers provide much of the activities in the dementia unit, guided by the activity plan and resident’s own activity plan.  Some dementia residents attend activities in the main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under the age of 65 years have activities detailed on their activity plan that meets their specific needs.  Discussion with these residents and activities attendance calendars indicated that the activities programme met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 lifestyle questionnaire completed after admission, that describes hobbies and interests, career and family by the resident, their family and the nurse.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Surveys received indicated above average levels of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nursing care plan had been evaluated at least six-monthly or earlier if there was a change in health status.  There was at least a three-monthly review by the GP.  Resident files sighted demonstrated that short-term care plans were evaluated and resolved or added to the long-term care plan if the problem is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medical and non-medical services is evident in resident files reviewed.  Referral documentation is maintained on resident files.  There was evidence that residents had been referred to the dietitian, speech and language therapist and mental health services for older people.  There was also evidence of input from the physiotherapist and hospice.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registered nurse confirmed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was one pressure injury and 24 wounds.  There had been external input, or the GP was aware of all wounds except the two new small skin tears.  External input included but was not limited to GP, wound care specialist nurse, surgeons, hospice and emergency department.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Management of waste and hazardous substances is covered during orientation and staff have attended chemical safety training.  All chemicals are clearly labelled with manufacturer’s labels and stored in locked areas.  Safety datasheets and product sheets are available.  Sharps containers are available in the sluice rooms.  The hazard register identifies hazardous substances and staff indicate a clear understanding of processes and protocols.  Gloves, aprons, and goggles are available for staff.  The registered nurses described the safe management of hazardous material.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16 September 2020.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All hoists and scales have been checked and tagged.  Hot water temperatures have been monitored in resident areas and are within the acceptable range.  The communal lounges and hallways are carpeted.  The utility areas such as the kitchen, laundry and sluice rooms have vinyl flooring.  Residents’ rooms, ensuites and communal showers and toilets have nonslip vinyl flooring.  Residents were observed moving freely around the areas with mobility aids where required.  The external areas, courtyards and gardens are well maintained.  All gardens have attractive features and are easily accessible to residents.  The dementia unit has a walking pathway, gardens and raised garden beds.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single occupancy except for one room shared by a married couple (there was enough space for both beds in this room).  All rooms have ensuites, toilets and sink.  Fixtures, fittings and flooring are appropriate and toilet/shower facilities are well maintained and easy to clean.  There is ample space in all toilet and shower areas to accommodate shower chairs and hoists if appropriate.  There are privacy signs on all shower/toilet doors.  There are visitor toilets available in the main corridor.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and allow care to be provided and the safe use of mobility aids.  Staff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home/hospital area is divided into seven ‘suites’, each with an individual open plan lounge/dining area.  Additionally, there is a large communal lounge.  The dementia unit has two lounges, a quiet area and a dining area.  There are spaces where residents, who prefer quieter activities or visitors, may sit.  Some lounges open out onto attractive gardens.  The communal lounges are also used as dining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services are contracted to an external service.  There is a washer and dryer available for laundering of some personal clothing.  Cleaning and laundry services are monitored through the internal auditing system.  The cleaners’ equipment was attended or locked away in the cleaners’ room as sighted on the day of the audit.  Cleaning is done by on-site cleaners who are contracted by an external service.  There are three sluice rooms for the disposal of soiled water or waste.  The sluice room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There is a staff member with a first aid certificate on duty at all times.  The facility has a fire evacuation plan that has been approved by the fire service on 7 November 2008.  A fire drill is completed as part of the orientation of all new employees and six monthly.  Smoke alarms, sprinkler system and exit signs are in place.  Two gas barbeques and torches are available in the event of a power failure.  A contract with a generator company is in place to supply and install generators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lighting is in place.  A civil defence kit is in place.  Supplies of stored water is in tanks.  Electronic call-bells were evident in resident’s rooms, lounge areas and toilets/bathrooms.  All call bells have an emergency button available and all bells alert on electronic panels visible throughout each suite.  All call points are physically and visually checked monthly by the maintenance worker for the site.  There is a keypad lock into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security policies are being implemented around locking of the facility from dusk to dawn.  Staff lock the facility at night and processes are in place should additional security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 facility was a warm and comfortable temperature on the day of the audit.  Residents interviewed confirmed the temperature was good.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an RN who has completed an infection control course.  The infection control coordinator oversees infection control for the facility and is responsible for the collation of infection events.  The infection control coordinator has a defined job description.  Infection events are collated monthly and reported to combined infection control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been developed by the CHT management team infection control team and is linked to the quality system.   The IC programme has been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infection control and prevention control education, including CHT and DHB infection control nurse meetings, and leads the infection control focus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combined infection control/health and safety committee form part of the quality risk committee.  The committee meets monthly to discuss infection control events and quality data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local laboratory, the infection control nurse specialist at the DHB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reviewed regularly by the CHT senior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coordinator/RN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the combined quality/health and safety and infection control meetings.  Results from laboratory tests are available monthly.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On the day of the audit there were two residents with restraints in use (bed rails) and four residents using a lap belt as an enabler.  Two resident files were reviewed for enabler use and identified the residents had given voluntary consent.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with a defined job description, she also leads the restraint focus group.  Restraint discussion and quality data around restraint and enabler use is included in the quality/risk meetings and clinical meetings.  Care staff receive education on safe restraint use at orientation and annually.  There is ongoing education including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restraint coordinator, the resident and their family/whānau undertakes assessments.  Ongoing consultation with the resident and family/whānau was evident.  A restraint assessment form had been completed for two resident files reviewed requiring restraint (sighted).  Assessments identified risks related to the use of restraint and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recorded in the care plan; with risks and cares to be carried out during the restraint episode documented.  Individual restraint monitoring forms evidenced that checks and cares had been carried out according to the documented frequency described in the monitoring tool.  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evaluations occur six monthly as part of the ongoing review for residents on the restraint register, and as part of their care plan review.  Families (where possible) and the GP and RNs are included as part of this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is monitored regularly.  The review of restraint use is discussed at the quality risk meetings and relevant facility meetings.  The facility is proactive in minimising restraint with evidence of continued reduction over the last year.  Internal restraint audits are completed six monthly and demonstrated compliance of the standard.   The facility has been actively minimising the use of restraints and have reduced restraint by 50% over the 12 months from January 2018 to January 2019.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94"/>
        <w:gridCol w:w="1280"/>
        <w:gridCol w:w="3847"/>
        <w:gridCol w:w="47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manager, clinical coordinator and registered nurses described the “Replenish, Energy and Protein” (REAP) programme, a New Zealand-wide initiative that has been implemented to enhance the nutritional status of residents.  All residents are assessed against criteria as being either in the REAP one or REAP two or REAP three categories.  Assessment is based on body mass index, weight loss, the presence of wounds or pressure injuries.  A resident on REAP two requires fortified meals; and a resident on REAP three requires nutritional supplements.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“Replenish, Energy and Protein” (REAP) programme, a New Zealand-wide initiative that has been implemented to enhance the nutritional status of residents. Improvement in individual resident’s nutritional status was achieved by care staff assessing resident needs and working in partnership with kitchen staff to create a comprehensive profile of residents’ additional nutritional requirements.  Cream enriched potato and extra cream for porridge is also provided for residents where nutritional enhancement is assessed as being beneficial.  Data presented demonstrated that in January 2019 there were 31 residents on REAP level three, and one resident on REAP level two.  In July this had reduced to only 17 residents being on REAP level three.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month was celebrated in October at St Margaret’s.  Due to the success of this it has become an annual event.  The objective of the celebration was to create a community-wide celebration with better understanding of cultural diversity.  Residents, their families, staff and the community participate in the event.  The activities coordinators facilitated the event which included: bringing in family members, elders, children, children’s school groups for cultural singing, kapa haka, dancing or talks; cooking demonstrations and sampling of food; teaching staff, families and residents songs, dances words and phrases and the wearing of cultural dress and movies about various countries.  Cultural input included groups from Samoan, Tongan, Kiwi, Fijian, Indian, Tuvalu, Kiribati, Dutch, Filipino, and Croatian cultures.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Cultural month was celebrated in October at St Margaret’s.  Due to the success of this it has become an annual event.  The objective of the celebration was to create a community-wide celebration with better understanding of cultural diversity.  Outcomes have included the following: residents of Croatian cultural descent are now more fully engaged in the daily activities programme; residents within the facility participated in activities wearing cultural dress and participating in cultural performances; evening activities included cultural activities with community groups and staff; other facilities were welcomed to join in the presentations.  The grand finale included a cultural lunch.  The cultural month embraces the CHT pillars of care which includes compassion (by understanding and embracing the cultural differences); companionship; comfort and quality of life.  A series of photographs captured the events.  Surveys received indicated above average levels of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Monthly infection data is collected for all infections based on signs and symptoms of infection.  All infections are individually logged monthly.  The data has been monitored and evaluated monthly and annually and is benchmarked internally.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2018, the service implemented the following strategies around reducing the incidents of all infections that included: (i) review of the management of residents with chronic respiratory conditions, (ii) education on the importance of staff hand hygiene using glitter bugs to demonstrate best practise; (iii) identifying and monitoring of the organisms causing the infection (iv) antibiotic stewardship (v) education of residents especially females of correct techniques to prevent urinary tract infections, (vi) introduction of extra fluid rounds in warmer weather (vii) specifying in residents care plan the risk factors for infection and preventative management strategies.  As a result of the strategies implemented, the facility has remained consistently below benchmarking results since July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facility has been actively minimising the use of restraints and promotes the safe mobilisation of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active in educating staff and families around alternative options to restraint despite requests from families to provide this option.  Documentation identified families requesting this option were educated on an individual basis.  Restraint minimisations included physio assessments, seating positions in areas where they can be closely monitored, providing activities, the use of landing mats, sensor mats and hi-low beds.  Additional equipment has been purchased as required for individual residents.  </w:t>
            </w:r>
          </w:p>
          <w:p w:rsidR="00EB7645" w:rsidRPr="00BE00C7" w:rsidP="00BE00C7">
            <w:pPr>
              <w:pStyle w:val="OutcomeDescription"/>
              <w:spacing w:before="120" w:after="120"/>
              <w:rPr>
                <w:rFonts w:cs="Arial"/>
                <w:b w:val="0"/>
                <w:lang w:eastAsia="en-NZ"/>
              </w:rPr>
            </w:pPr>
            <w:r w:rsidRPr="00BE00C7">
              <w:rPr>
                <w:rFonts w:cs="Arial"/>
                <w:b w:val="0"/>
                <w:lang w:eastAsia="en-NZ"/>
              </w:rPr>
              <w:t>Restraint monitoring identified restraint had reduced by 75% over the 21 months from January 2018 to September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St Margaret's Hospital and Rest Home</w:t>
    </w:r>
    <w:bookmarkEnd w:id="58"/>
    <w:r>
      <w:rPr>
        <w:rFonts w:cs="Arial"/>
        <w:sz w:val="16"/>
        <w:szCs w:val="20"/>
      </w:rPr>
      <w:tab/>
      <w:t xml:space="preserve">Date of Audit: </w:t>
    </w:r>
    <w:bookmarkStart w:id="59" w:name="AuditStartDate1"/>
    <w:r>
      <w:rPr>
        <w:rFonts w:cs="Arial"/>
        <w:sz w:val="16"/>
        <w:szCs w:val="20"/>
      </w:rPr>
      <w:t>26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