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Logan Samuel Limited - Anne Maree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Logan Samuel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Anne Maree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October 2019</w:t>
      </w:r>
      <w:bookmarkEnd w:id="7"/>
      <w:r w:rsidRPr="009418D4">
        <w:rPr>
          <w:rFonts w:cs="Arial"/>
        </w:rPr>
        <w:tab/>
        <w:t xml:space="preserve">End date: </w:t>
      </w:r>
      <w:bookmarkStart w:id="8" w:name="AuditEndDate"/>
      <w:r w:rsidR="00A4268A">
        <w:rPr>
          <w:rFonts w:cs="Arial"/>
        </w:rPr>
        <w:t>3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Anne Maree Court provides rest home and hospital level care services for up to 57 residents.</w:t>
      </w:r>
    </w:p>
    <w:p w:rsidRPr="00A4268A">
      <w:pPr>
        <w:spacing w:before="240" w:line="276" w:lineRule="auto"/>
        <w:rPr>
          <w:rFonts w:eastAsia="Calibri"/>
        </w:rPr>
      </w:pPr>
      <w:r w:rsidRPr="00A4268A">
        <w:rPr>
          <w:rFonts w:eastAsia="Calibri"/>
        </w:rPr>
        <w:t>This surveillance audit was conducted against the Health and Disability Services Standards and the provider’s contract with the district health board. The audit process included the review of organisational documentation, staff files and residents’ clinical files, observations, and interviews with residents, families/whānau, managers, and staff. No general practitioner (GP) was available for interview. The general manager, facility manager and a new orientating facility manager were present for the audit.</w:t>
      </w:r>
    </w:p>
    <w:p w:rsidRPr="00A4268A">
      <w:pPr>
        <w:spacing w:before="240" w:line="276" w:lineRule="auto"/>
        <w:rPr>
          <w:rFonts w:eastAsia="Calibri"/>
        </w:rPr>
      </w:pPr>
      <w:r w:rsidRPr="00A4268A">
        <w:rPr>
          <w:rFonts w:eastAsia="Calibri"/>
        </w:rPr>
        <w:t>The most significant changes since the most recent certification audit in March 2018 have been in senior management staffing. A third new facility manager has been appointed and the person holding the clinical leader position has also changed three times. These changes are discussed in detail in the body of the report. The service has recently introduced a new consumer information management system. There have been no major changes to the physical environment or scope of services provided.</w:t>
      </w:r>
    </w:p>
    <w:p w:rsidRPr="00A4268A">
      <w:pPr>
        <w:spacing w:before="240" w:line="276" w:lineRule="auto"/>
        <w:rPr>
          <w:rFonts w:eastAsia="Calibri"/>
        </w:rPr>
      </w:pPr>
      <w:r w:rsidRPr="00A4268A">
        <w:rPr>
          <w:rFonts w:eastAsia="Calibri"/>
        </w:rPr>
        <w:t>Feedback from residents and families/whānau members was positive about the care and services provided.</w:t>
      </w:r>
    </w:p>
    <w:p w:rsidRPr="00A4268A">
      <w:pPr>
        <w:spacing w:before="240" w:line="276" w:lineRule="auto"/>
        <w:rPr>
          <w:rFonts w:eastAsia="Calibri"/>
        </w:rPr>
      </w:pPr>
      <w:r w:rsidRPr="00A4268A">
        <w:rPr>
          <w:rFonts w:eastAsia="Calibri"/>
        </w:rPr>
        <w:t xml:space="preserve">There was sufficient evidence to determine that the seven corrective actions identified at the previous audit have been addressed. </w:t>
      </w:r>
    </w:p>
    <w:p w:rsidRPr="00A4268A">
      <w:pPr>
        <w:spacing w:before="240" w:line="276" w:lineRule="auto"/>
        <w:rPr>
          <w:rFonts w:eastAsia="Calibri"/>
        </w:rPr>
      </w:pPr>
      <w:r w:rsidRPr="00A4268A">
        <w:rPr>
          <w:rFonts w:eastAsia="Calibri"/>
        </w:rPr>
        <w:t>This audit resulted in no new improvements required.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are effective communication systems between staff, between staff and residents and their families and with other health providers. The service adheres to the practices of open disclosure where necessary. </w:t>
      </w:r>
    </w:p>
    <w:p w:rsidRPr="00A4268A">
      <w:pPr>
        <w:spacing w:before="240" w:line="276" w:lineRule="auto"/>
        <w:rPr>
          <w:rFonts w:eastAsia="Calibri"/>
        </w:rPr>
      </w:pPr>
      <w:r w:rsidRPr="00A4268A">
        <w:rPr>
          <w:rFonts w:eastAsia="Calibri"/>
        </w:rPr>
        <w:t>Review of complaint records and interviews with staff, demonstrated that complaints received since the previous audit has been managed effectively. The residents and families interviewed confirmed that information on the complaints process has been provided to them and that they understand how to raise concerns/complaints.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service is maintaining its quality and risk management system with regular monitoring of all service areas.</w:t>
      </w:r>
    </w:p>
    <w:p w:rsidRPr="00A4268A">
      <w:pPr>
        <w:spacing w:before="240" w:line="276" w:lineRule="auto"/>
        <w:rPr>
          <w:rFonts w:eastAsia="Calibri"/>
        </w:rPr>
      </w:pPr>
      <w:r w:rsidRPr="00A4268A">
        <w:rPr>
          <w:rFonts w:eastAsia="Calibri"/>
        </w:rPr>
        <w:t>Adverse events are reliably reported by all levels of staff. There is evidence that people impacted by an adverse event are notified, for example, general practitioners, residents and families. Notification of serious events is occurring as required by regulatory requirements.</w:t>
      </w:r>
    </w:p>
    <w:p w:rsidRPr="00A4268A">
      <w:pPr>
        <w:spacing w:before="240" w:line="276" w:lineRule="auto"/>
        <w:rPr>
          <w:rFonts w:eastAsia="Calibri"/>
        </w:rPr>
      </w:pPr>
      <w:r w:rsidRPr="00A4268A">
        <w:rPr>
          <w:rFonts w:eastAsia="Calibri"/>
        </w:rPr>
        <w:t>Human resources systems are in place and staff are recruited and managed effectively. Staff training in relevant subject areas is occurring regularly. All staff are supported and encouraged to attend ongoing performance development and achieve educational qualifications in health care. There are adequate numbers of skilled and experienced staff on site to meet the needs of residents 24 hours a day seven days a week</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Prospective residents and family members are provided with information on the facility and services prior to and on entering the service. </w:t>
      </w:r>
    </w:p>
    <w:p w:rsidRPr="00A4268A" w:rsidP="00621629">
      <w:pPr>
        <w:spacing w:before="240" w:line="276" w:lineRule="auto"/>
        <w:rPr>
          <w:rFonts w:eastAsia="Calibri"/>
        </w:rPr>
      </w:pPr>
      <w:r w:rsidRPr="00A4268A">
        <w:rPr>
          <w:rFonts w:eastAsia="Calibri"/>
        </w:rPr>
        <w:t xml:space="preserve">The multidisciplinary team, including registered nurses and a general practitioner, are involving in assessing residents’ needs. A podiatrist and physiotherapist are involved where required.  Care plans are individualised, based on a range of information and assessments.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 xml:space="preserve">Medicines are safely stored and managed and reviewed by the general practitioner at least every three months. </w:t>
      </w:r>
    </w:p>
    <w:p w:rsidRPr="00A4268A" w:rsidP="00621629">
      <w:pPr>
        <w:spacing w:before="240" w:line="276" w:lineRule="auto"/>
        <w:rPr>
          <w:rFonts w:eastAsia="Calibri"/>
        </w:rPr>
      </w:pPr>
      <w:r w:rsidRPr="00A4268A">
        <w:rPr>
          <w:rFonts w:eastAsia="Calibri"/>
        </w:rPr>
        <w:t>Special dietary needs are catered for. Food is safely managed. Residents or family members reported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All building regulations, fire safety, emergency and security standards are met. Enhancements have been made to the interior and in the gardens. Residents and families interviewed were satisfied with the environment.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systems and practices meet the requirements of this standard. On the day of audit there was no residents using restraint and no enablers in use.  Assessment, consent, approval and monitoring and review occurs in relation to the use of these interventions, should they be required.  Staff training on restraint and enabler use is being provided regularly.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activities are facilitated by the clinical manager. Specialist infection prevention and control advice can be sought as needed. Residents are offered influenza vaccinations.  Surveillance is undertaken, data is analysed and trended and results are reported back to staff. Follow-up action is taken as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maintaining a complaints register and effectively managing the complaints process. Residents and family members interviewed demonstrated knowledge and understanding about how to raise a complaint. Interview with the general manager and facility manager and review of the documentation related to the eight written and one verbal complaint logged in 2019, confirmed that each matter was investigated immediately, and managed effectively for resolution with all parties.  There was evidence of ongoing communication with all people involved and external advocacy had been offered where necessary.</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submitted to or investigated by the Office of the Health and Disability Commissioner or the DHB since the recertification audit in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clearly and accurately describes the principles of open disclosure and how to implement this when required.</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confirmed they are kept informed of the resident`s status and are notified of adverse events. Contact with the family is documented if the resident has been involved in an incident/accident or there has been any change in the resident’s condition. Details from doctors’ visits are documented and communicated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Staff said they know how to contact interpreter services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(FM) is a registered nurse (RN) with relevant qualifications. This person has long term experience in the NZ health sector as an RN and manager in aged care services. The FM has resigned and the new FM was on site and orientating during this audit. This is the third change of FM since the recertification audit in 2018. Explanations and reasons offered for the changes were legitimate and reasonable. The outgoing and incoming FM hold qualifications and clinical skills suitable for managing an age care facility and its service scope.  Responsibilities and accountabilities are defined in the FM job description and individual employment agreement.  The general manager and both FM’s confirmed knowledge of the sector, regulatory and reporting requirements. Notification to the DHB and Ministry of Health (MoH) about the new FM is underway (refer standard 1.2.4) </w:t>
            </w:r>
          </w:p>
          <w:p w:rsidR="00EB7645" w:rsidRPr="00BE00C7" w:rsidP="00BE00C7">
            <w:pPr>
              <w:pStyle w:val="OutcomeDescription"/>
              <w:spacing w:before="120" w:after="120"/>
              <w:rPr>
                <w:rFonts w:cs="Arial"/>
                <w:b w:val="0"/>
                <w:lang w:eastAsia="en-NZ"/>
              </w:rPr>
            </w:pPr>
            <w:r w:rsidRPr="00BE00C7">
              <w:rPr>
                <w:rFonts w:cs="Arial"/>
                <w:b w:val="0"/>
                <w:lang w:eastAsia="en-NZ"/>
              </w:rPr>
              <w:t>The change in clinical leaders was also satisfactorily explained. The current clinical leader was on leave and the replacement RN on the day of the audit, was a senior RN with sufficient knowledge and experience to be overseeing the clinical care with the support of the FM and GM.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leaders and managers maintain currency with their roles by attending ongoing professional development and through regular meetings with the DHB and their peers. </w:t>
            </w:r>
          </w:p>
          <w:p w:rsidR="00EB7645" w:rsidRPr="00BE00C7" w:rsidP="00BE00C7">
            <w:pPr>
              <w:pStyle w:val="OutcomeDescription"/>
              <w:spacing w:before="120" w:after="120"/>
              <w:rPr>
                <w:rFonts w:cs="Arial"/>
                <w:b w:val="0"/>
                <w:lang w:eastAsia="en-NZ"/>
              </w:rPr>
            </w:pPr>
            <w:r w:rsidRPr="00BE00C7">
              <w:rPr>
                <w:rFonts w:cs="Arial"/>
                <w:b w:val="0"/>
                <w:lang w:eastAsia="en-NZ"/>
              </w:rPr>
              <w:t>Anne Maree Court has agreements with the DHB for age related care (ARCC) in rest home, hospital (medical and geriatric care), palliative care, respite/short stay and day services and Long Term Services, Chronic Health Care (LTS-CHC) and an agreement with MoH for Young people with Disabilities.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49 of the 57 beds were occupied. Twenty-five residents were receiving rest home level care, including one respite, one person was under 65 years of age and one person under LTS-CHC. Twenty-four residents were receiving hospital level care, which included three people admitted for palliative care, one under 65 years of age, and two respite residents. One additional person was occupying a bed on site and was classified as a boarder under arrangement with the Ministry of Social Development (MSD).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reporting and tracking of infections and restraint events, scheduled internal audits, regular resident and relative satisfaction surveys and monitoring of outcomes.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a variety of management team, quality and risk team meetings and staff meetings. Staff reported their involvement in quality and risk management activities through audit activities and feedback from quality analysis. Graphs showing the prevalence of falls and when these occur are displayed in the staff room. Where necessary corrective actions are developed and implemented to address any shortfalls. Resident and family satisfaction surveys are completed annually. Feedback from family and residents was positive.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understands the processes for the identification, monitoring, review and reporting of risks and development of mitigation strategies. Staff and the managers are familiar with the Health and Safety at Work Act (2015). There have been no reports to Worksafe NZ in this audit period.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for 2019 revealed clear descriptions of the event and evidence of notifications to people impacted by the incidents. For example, family, the manager on call and/or the GP. All incidents were being reviewed and investigated by the FM, clinical leader and the GM to determine cause and effect and what if any type of actions require follow-up. There was evidence that actions are monitored for implementation. Consequential actions are recorded in the resident’s electronic progress notes. Adverse event data is collated, analysed and reported to staff as described in standard 1.2.3.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and GM understand and adhere to the requirements for essential notification reporting. The records showed appropriate notifications of significant events made to the Ministry of Health and DHB in 2019. Examples include reports of a stage three pressure injury (resident admitted with this) and notifications for the changes in facility manager and clinical leaders. There were a number of section 31 notification in 2018, for pressure injuries, RN shortages and a power outage. The previous improvement required in essential notification reporting is closed.  There have been no coroner’s inquests, police investigations or issues-based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policies and practices are based on good employment practice and relevant legislation. The recruitment process includes referee checks, police vetting and validation of qualifications and practising certificates (APCs), where required.  The new FM confirmed their recruitment, and appointment process as conforming to good employment practice.  A sample of six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The new FM was on day one of their orientation with a transition and handover time between FMs scheduled for seven working days. Staff records reviewed showed documentation of completed orientation followed by an initial performance review.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such as emergency processes, medicine competency and first aid for those staff who required these. Care staff have either completed or commenced a New Zealand Qualification Authority education programme to meet the requirements of the provider’s agreement with the DHB.  Records reviewed demonstrated that eight of the 27 caregivers have completed level 4 or higher of the National Certificate in Health and Wellbeing (or its equivalent). Seven carers have achieved level 3, four have achieved level 2 and the remaining eight are in progress to achieve levels one and two.  Two of the six RNs employed are maintaining annual competency requirements to undertake interRAI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Staffing levels are adjusted to meet the changing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reported there were typically enough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Observations and review of a four-week roster cycle confirmed adequate staff cover has been provided, with staff replaced in any unplanned absence through call backs and a reliable pool of casual staff.  The number of staff typically rostered on, is five carers in the morning (four from 7am to 3pm and one from 7am to 2pm) plus two RNs and the FM during Monday to Friday. Fiver carers are allocated for afternoon shifts (four from 3pm to 11pm and one from 3pm to 9pm) plus one RN and there are three carers and one RN on site during the night. Staff said that carer numbers were the same on the weekend but the number of RNs was reduced from two on the floor to one RN per eight hour shift and there was no FM. They said the afterhours on call roster provided good access to RN advice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and the reviewed progress with corrective actions reports from the DHB which included onsite visits in July, August, September and November of 2018 to assess actions being taken to address the availability of staffing, confirmed that the provider has implemented strategies for safe staffing and the corrective action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least one staff member on duty has a current first aid certificate and there is 24 hour/seven days a week (24//7) RN coverage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was current and identifies all aspects of medicine management in line with the Medicines Care Guide for Residential Aged Care. 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medications against the prescription have been assessed as competent to do so.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prescriptions. All medications sighted were within current use by dates. Clinical pharmacist input is provided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and checked by two staff for accuracy when administering. The controlled drug register provided evidence of weekly and six-monthly stock checks and accurate entries.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were noted. The required three-monthly GP review was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residents who were self-administering medications at the time of audit, all appropriate processes were in place to ensue this was managed in a safe manner. The provider has implemented strategies to ensure the safe management of medicines that complies with guidelines including that of self-administration.  All previous areas requiring improvement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two cooks and a kitchen team and is in line with recognised nutritional guidelines for older people. The menu follows a four- week menu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The service operates with an approved food safety plan. The kitchen has been through some renovations and staff reported that their work environment is fit for purpose. Food temperatures, including for high risk items, are monitored appropriately and recorded as part of the plan. The cook interviewed has undertaken a safe food handling qualification, with kitchen assistants completing relevant food handling training.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All food is cooked on site and served to residents in the dining room adjourning the kitchen and the main residents lounge at two different sittings. The personal food preferences, any special diets and modified texture requirements are made known to kitchen staff and accommodated in the daily meal plan. Residents reported satisfaction with the meals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however not all care plans developed and provided by an external source were followed. The GP interviewed, verified that medical input is sought in a timely manner, that medical orders are followed, and care is appropriate. Care staff confirmed that care was provided as outlined in handover and documentation. A range of equipment and resources was available, suited to the level of care provided and in accordance with the residents’ needs. At the audit the service was able to identify a new, implemented process of monitoring specialist nurse interventions for wound care to enable the registered nurses to monitor that all interventions and evaluations are carried out in practice. The registered nurse on duty advised that the new Client Management System supported more in-depth monitoring and evaluating of interventions to occur. The registered nurse was able to describe how  close monitoring of interventions( a tool was developed to discuss at handover and to help inform staff of the care and treatment required ) and how follow up was undertaken for specific prescribed care by the wound specialist nurse was done and this was reflected in the care plans, documentation and progress notes. Staff interviewed were able to advise how this form has helped support best practice. The provider has developed strategies to enable closer monitoring that all interventions and evaluations are carried out in practice and the corrective actions are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diversional therapist (on leave at the time of audit) holding the national Certificate in Diversional Therapy and an assistant (two assistants were available on the day of audit). The diversional therapist supports residents Monday to Friday from 9.00 am to 4.00 pm with support from an assistant Thursdays and Fridays, Saturday and Sundays.</w:t>
            </w:r>
          </w:p>
          <w:p w:rsidR="00EB7645" w:rsidRPr="00BE00C7" w:rsidP="00BE00C7">
            <w:pPr>
              <w:pStyle w:val="OutcomeDescription"/>
              <w:spacing w:before="120" w:after="120"/>
              <w:rPr>
                <w:rFonts w:cs="Arial"/>
                <w:b w:val="0"/>
                <w:lang w:eastAsia="en-NZ"/>
              </w:rPr>
            </w:pPr>
            <w:r w:rsidRPr="00BE00C7">
              <w:rPr>
                <w:rFonts w:cs="Arial"/>
                <w:b w:val="0"/>
                <w:lang w:eastAsia="en-NZ"/>
              </w:rPr>
              <w:t>On entry to the service, a social assessment and history is undertaken to ascertain and understand the residents’ needs, abilities, interests and community/social connections. Activities assessments are regularly reviewed to help formulate an activities programme that is meaningful to the residents. The resident’s activity needs are evaluated three monthly and as part of the formal six-monthly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Residents and families/whānau are involved in evaluating and improving the programme through day to day discussions with residents and at residents’ meetings. The activities are varied and flexible and are modified to meet the capabilities of the individual residents and residents who present with challenging behaviours. Residents and family interviewed confirmed they find the programme comprehensive and had no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documented in the progress notes and any changes noted are reported to the registered nurse. Formal care plan evaluations occur every six months in conjunction with interRAI reassessment, or as needs change. If progress is different from what is expected, then the service will make changes to the care plan. There was evidence of short-term care plans being constantly reviewed and progress evaluated as clinically indicated, for example for infections and wounds. When necessary, long term care plans are added to and residents and family/ whānau confirmed they were notified of any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03 November 2019)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There have been no structural changes to the building. Improvements to the internal and external environment were observed, for example, replacement of flooring, painting, new furniture and enhancements to the gardens, all for the benefit of residents. The environment was hazard free, residents were safe and independence was promoted.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carried out and appropriate at the facility and includes infections for soft tissue/skin, gastrointestinal, urinary tract and respiratory. The Infection control coordinator reviews all reported infections, and these are documented. Any new infections and management plan are discussed at handover, to ensure all interventions occur. There is also clear evidence of the monitoring undertaken to ensure plans are followed including a new form developed specifically around specialist wound management. Monthly surveillance data is collated and analysed to identify trends, possible causative factors and required actions. Results of the surveillance programme are shared at staff meetings and handover. Benchmarking is undertaken to enable monitoring of the facility performance against the sector average. Appropriate interventions were noted in the residents’ care plans. Staff education supports the infection control programme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no residents using restraints or enablers. This has been the case since June 2018. The service is utilising low-low beds with fall out mattresses, perimeter guards and sensor mats in residents’ bedrooms as an alternative to bed rails to prevent and alert to the risk of falls. The role of restraint coordinator is allocated to the clinical leader with support from the FM, both of whom provide ongoing education to staff. A training session on managing challenging behaviour has been presented by DHB staff from the Mental Health for Older People team in May 2019, and regular in-service sessions including modules and worksheets about the service policies and procedures are being provided to all staff. This was evident from the review of documents, observations on site and interviews with RNs and care staff who demonstrated good understanding about restraint minimisation and safe practice.  </w:t>
            </w:r>
          </w:p>
          <w:p w:rsidR="00EB7645" w:rsidRPr="00BE00C7" w:rsidP="00BE00C7">
            <w:pPr>
              <w:pStyle w:val="OutcomeDescription"/>
              <w:spacing w:before="120" w:after="120"/>
              <w:rPr>
                <w:rFonts w:cs="Arial"/>
                <w:b w:val="0"/>
                <w:lang w:eastAsia="en-NZ"/>
              </w:rPr>
            </w:pPr>
            <w:r w:rsidRPr="00BE00C7">
              <w:rPr>
                <w:rFonts w:cs="Arial"/>
                <w:b w:val="0"/>
                <w:lang w:eastAsia="en-NZ"/>
              </w:rPr>
              <w:t>The above evidence and review of the DHB progress report related to the previous corrective actions confirmed these matters have now been addressed. Refer to criteria 2.2.2.1 (assessment) and 2.2.4.2 (review and evaluation).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restraint and all RNs and care staff are receiving ongoing education about the requirements for restraint assessment prior to use. The role of restraint coordinator is delegated to the clinical leader with support from the FM. The FM, acting clinical lead, RN and carers interviewed demonstrated enough knowledge about all the requirements of the restraint minimisation and safe practice standard and service policies. The previous corrective action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restraint and all RNs and care staff have attended education about the requirements for ongoing review and evaluation of restraint interventions. Staff interviewed demonstrated good knowledge of all restraint processes and the service policies. The previous corrective action has been addressed.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Logan Samuel Limited - Anne Maree Court</w:t>
    </w:r>
    <w:bookmarkEnd w:id="58"/>
    <w:r>
      <w:rPr>
        <w:rFonts w:cs="Arial"/>
        <w:sz w:val="16"/>
        <w:szCs w:val="20"/>
      </w:rPr>
      <w:tab/>
      <w:t xml:space="preserve">Date of Audit: </w:t>
    </w:r>
    <w:bookmarkStart w:id="59" w:name="AuditStartDate1"/>
    <w:r>
      <w:rPr>
        <w:rFonts w:cs="Arial"/>
        <w:sz w:val="16"/>
        <w:szCs w:val="20"/>
      </w:rPr>
      <w:t>3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