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Carter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Carter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2019</w:t>
      </w:r>
      <w:bookmarkEnd w:id="7"/>
      <w:r w:rsidRPr="009418D4">
        <w:rPr>
          <w:rFonts w:cs="Arial"/>
        </w:rPr>
        <w:tab/>
        <w:t xml:space="preserve">End date: </w:t>
      </w:r>
      <w:bookmarkStart w:id="8" w:name="AuditEndDate"/>
      <w:r w:rsidR="00A4268A">
        <w:rPr>
          <w:rFonts w:cs="Arial"/>
        </w:rPr>
        <w:t>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Carter House provides rest home, hospital and dementia care services for up to 65 residents. The service is operated by Heritage Lifecare Limited and managed by a care home and village manager, a clinical service manager and a quality manager. Residents and family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and staff. The general practitioner was not available for interview.</w:t>
      </w:r>
    </w:p>
    <w:p w:rsidRPr="00A4268A">
      <w:pPr>
        <w:spacing w:before="240" w:line="276" w:lineRule="auto"/>
        <w:rPr>
          <w:rFonts w:eastAsia="Calibri"/>
        </w:rPr>
      </w:pPr>
      <w:r w:rsidRPr="00A4268A">
        <w:rPr>
          <w:rFonts w:eastAsia="Calibri"/>
        </w:rPr>
        <w:t xml:space="preserve">This audit resulted in no identified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effective communication systems between staff, between staff and residents and their families and with other health providers. The service adheres to the practices of open disclosure where necessary. </w:t>
      </w:r>
    </w:p>
    <w:p w:rsidRPr="00A4268A">
      <w:pPr>
        <w:spacing w:before="240" w:line="276" w:lineRule="auto"/>
        <w:rPr>
          <w:rFonts w:eastAsia="Calibri"/>
        </w:rPr>
      </w:pPr>
      <w:r w:rsidRPr="00A4268A">
        <w:rPr>
          <w:rFonts w:eastAsia="Calibri"/>
        </w:rPr>
        <w:t xml:space="preserve">Review of complaint records and interviews with staff, residents and families demonstrated that complaints received since the previous audit has been managed effectively. The Office of the Health and Disability Commissioner (HDC) are in the process of investigating a complaint from 2018.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maintaining its quality and risk management system with regular monitoring of all service areas.</w:t>
      </w:r>
    </w:p>
    <w:p w:rsidRPr="00A4268A">
      <w:pPr>
        <w:spacing w:before="240" w:line="276" w:lineRule="auto"/>
        <w:rPr>
          <w:rFonts w:eastAsia="Calibri"/>
        </w:rPr>
      </w:pPr>
      <w:r w:rsidRPr="00A4268A">
        <w:rPr>
          <w:rFonts w:eastAsia="Calibri"/>
        </w:rPr>
        <w:t>Adverse events are reliably reported by all levels of staff. There is evidence that people impacted by an adverse event are notified for example, general practitioners and families. Notification of serious events is occurring as required by regulatory requirements.</w:t>
      </w:r>
    </w:p>
    <w:p w:rsidRPr="00A4268A">
      <w:pPr>
        <w:spacing w:before="240" w:line="276" w:lineRule="auto"/>
        <w:rPr>
          <w:rFonts w:eastAsia="Calibri"/>
        </w:rPr>
      </w:pPr>
      <w:r w:rsidRPr="00A4268A">
        <w:rPr>
          <w:rFonts w:eastAsia="Calibri"/>
        </w:rPr>
        <w:t xml:space="preserve">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w:t>
      </w:r>
    </w:p>
    <w:p w:rsidRPr="00A4268A">
      <w:pPr>
        <w:spacing w:before="240" w:line="276" w:lineRule="auto"/>
        <w:rPr>
          <w:rFonts w:eastAsia="Calibri"/>
        </w:rPr>
      </w:pPr>
      <w:r w:rsidRPr="00A4268A">
        <w:rPr>
          <w:rFonts w:eastAsia="Calibri"/>
        </w:rPr>
        <w:t>There are adequate numbers of skilled and experienced staff on site to meet the needs of residents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the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Nutritional meals, snacks and fluids are provided in line with recognised nutritional guidelines. Special dietary requirements are catered for. Residents verified satisfaction with meals provided. The service has a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Carter House has a current Building Warrant of Fitness. All building regulations, fire safety, emergency and security standards are met. Residents and families interviewed were satisfied with the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systems and practices meet the requirements of this standard. On the day of audit there was one resident who required positioning in a fall out chair for safety reasons and one resident who used bed rails voluntarily. Assessment, consent, approval and monitoring and review occurs in relation to the use of these interventions. </w:t>
      </w:r>
    </w:p>
    <w:p w:rsidRPr="00A4268A">
      <w:pPr>
        <w:spacing w:before="240" w:line="276" w:lineRule="auto"/>
        <w:rPr>
          <w:rFonts w:eastAsia="Calibri"/>
        </w:rPr>
      </w:pPr>
      <w:r w:rsidRPr="00A4268A">
        <w:rPr>
          <w:rFonts w:eastAsia="Calibri"/>
        </w:rPr>
        <w:t>Staff training on restraint and enabler use is being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9"/>
        <w:gridCol w:w="1280"/>
        <w:gridCol w:w="10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maintaining a complaints register and effectively managing the complaints process. Residents and family members interviewed demonstrated knowledge and understanding about how to raise a complaint. Interview with the care home manager and review of the documentation related to the seven complaints logged in 2019, confirmed that each matter was investigated immediately and managed effectively for resolution with all parties. There was evidence of ongoing communication with all people involved and external advocacy had been offered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A complaint submitted to the Office of the Health and Disability Commissioner in 2018 which was related to pressure injuries, is still under investigation.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clearly and accurately describes the principles of open disclosure and how to implement this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they are kept informed of the resident`s status and are notified of adverse events. Contact with the family is documented if the resident has been involved in an incident/accident or there has been any change in the resident’s condition. Details from doctors’ visits are documented and communicated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said they knew how to contact interpreter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(CHM) is an RN with relevant qualifications. The CHM commenced at Carter House January 2019 and has long term experience in the NZ health sector as an RN and has had previous clinical manager experience in aged care facilities manager in aged care facilities, needs assessment coordination and assessment and as interRAI educator. Responsibilities and accountabilities are defined in this person’s job description and individual employment agreement. The care home manager confirmed knowledge of the sector, regulatory and reporting requirements and maintains currency through regular meetings with the DHB and other age care facility managers. </w:t>
            </w:r>
          </w:p>
          <w:p w:rsidR="00EB7645" w:rsidRPr="00BE00C7" w:rsidP="00BE00C7">
            <w:pPr>
              <w:pStyle w:val="OutcomeDescription"/>
              <w:spacing w:before="120" w:after="120"/>
              <w:rPr>
                <w:rFonts w:cs="Arial"/>
                <w:b w:val="0"/>
                <w:lang w:eastAsia="en-NZ"/>
              </w:rPr>
            </w:pPr>
            <w:r w:rsidRPr="00BE00C7">
              <w:rPr>
                <w:rFonts w:cs="Arial"/>
                <w:b w:val="0"/>
                <w:lang w:eastAsia="en-NZ"/>
              </w:rPr>
              <w:t>Carter House has agreements with the DHB for age related care (ARCC) in rest home, dementia, hospital (medical and geriatric care) respite/short stay and day services and Long Term Services, Chronic Health Care (LTS-CHC).</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64 of the 65 beds were occupied. Twenty residents were receiving rest home level care and 25 plus one respite resident were receiving hospital level care. There were 17 residents in the secure unit. One hospital resident under 65 years of age was being care for under the LTS-CHC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the management of complaints, internal audits across all areas of service delivery and monitoring of outcomes, resident and relative satisfaction surveys and the reporting and collation of adverse events such as accidents/incidents, pressure injuries, restraint interventions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(HLL), uses the same system for each of its facilities to report their quality data for example, number of falls with or without injury, medicine errors, pressure injuries, restraint, urinary tract infections, bruising and skin tears, and staff incidents. This data is collated by a dedicated quality coordinator who conducts a monthly analysis looking for trends and ensuring that actions are underway to remedy any unwanted trends. This is then submitted to HLL’s national office who produce a monthly quality indicator report which shows how the facility compares with other services and whether they are over or under the benchmarked target in each category. Where gaps or deficits in service delivery are identified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from quality monitoring is shared with staff at regular monthly meetings and written information was observed to be on display in staff areas. The staff interviewed confirmed that they are kept well informed and may also be involved in quality and risk management processes through internal audit activities, quality projects and acting as representatives for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Results from the most recent 2019 survey showed no major issues or areas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controlled and managed nationally to ensure a systematic and regular review process, referencing of relevant sources, approval, distribution and removal of obsolete documents. Policies are based on best practice and cover all aspects of the service and contractual requirements, including reference to the interRAI Long Term Care Facility (LTCF) assessment tool and process.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the processes for the identification, monitoring, review and reporting of risks and development of mitigation strategies. The manager is familiar with the Health and Safety at Work Act (2015) and has implemented requirements. There had been no staff injuries requiring notification to Worksafe NZ.</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for 2019 revealed clear descriptions of the event and evidence of notifications to people impacted by the incidents. For example, family, the manager on call and/or the GP. All incidents were being reviewed and investigated by the CSM, to determine cause and effect and what if any type of actions require follow-up. There was evidence that actions are monitored for implementation. Consequential actions are recorded in the resident’s electronic progress notes. Adverse event data is collated, analysed and reported to staff as described in standard 1.2.3.</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understands and adheres to the requirements for essential notification reporting, including for pressure injuries. The records showed appropriate notifications of significant events made to the Ministry of Health, in 2019. Examples included reports of missing residents with police involvement, five stage three pressure injuries (three of which were present when admitted) and a gastro-enteritis outbreak which was also notified to local public health officers in June.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coroner’s inquests, or issues-based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practices are based on good employment practice and relevant legislation. The recruitment process includes referee checks, police vetting and validation of qualifications and practising certificates (APCs), where required. A sample of six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followed by an initial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Records reviewed demonstrated that eight of the 28 caregivers have completed level 4 or higher of the National Certificate in Health and Wellbeing (or its equivalent). Eleven carers have achieved level 3, one has achieved level 2 and eight are at level one.  Interviews and documents confirmed that each of the staff who are rostered to work in the secure/dementia unit have either completed or are progressing educational achievements in dementia care (US 23920-23923).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the 10 RNs employed are maintaining annual competency requirements to undertake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has a current first aid certificate and there is 24 hour/seven days a week (24/7) RN coverage in the facility. Only staff who have completed or are progressing educational achievements in dementia care (US 23920-23923) are rostered for duties in the secure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medicines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for all staff who 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when medication is received from the pharmacy. All medications sighted were within current use by dates. The service has implemented an electronic medication management system. Staff have completed relevant training for the new system and other topics required for medicine management as per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staff demonstrated knowledge on controlled drugs management and storage requirements and are guided by the medication management policies and procedures when required. Controlled drugs checks occur every Tuesday and the contracted pharmacist performs six monthly audits and these were recorded. </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three-monthly medication review was consistently recorded on the medicine chart by the GP. On the reviewed medication charts, dates were recorded on the commencement and discontinuation of medicines and all requirements for pro re nata (PRN) medicines were met. Monthly reviews/audits are completed from the electronic system utilised and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medicines.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one chef and a relieving cook and a kitchen team and is in line with recognised nutritional guidelines for older people. The menu follows a four weekly cycle pattern. The service has a contracted dietician who has audited the menu plans within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 risk items, are monitored appropriately and recorded as part of the food safety plan. The chef interviewed have undertaken a safe food handling qualification. Kitchen hands have also completed all relevant training and certificates are displayed.  The chef is responsible for the ordering of all food, checking off all deliveries, temperature monitoring of all foods, fridges and freezers.  Records were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Food allergies are documented and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and fluids to meet their nutritional needs at all times.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food control plan which expires 19 December 2019.  This is displayed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The GP medical records verified that medical input is sought in a timely manner that medical orders are followed, and care is implemented as required. Care staff confirmed that care was provided as outlined in the documentation. A range of equipment and resources was available, suited to the levels of care provided and in accordance with the residents’ needs. Interviewed residents and families confirmed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four staff; two are diversional therapists holding national certificates in diversional therapy and two are activities coordinators. All are experienced in providing appropriate activities for all residents. Monthly activities are planned separately for the three streams of residents at this home. Family members are welcome and encouraged to be involved with the activities provided. A weekly programme is displayed in all service areas. The activities staff are allocated residents on admission and are responsible for the initial social assessment and the individual recreational plans and updates as required. The interests, abilities and social requirements are taken into consideration when developing the individual plans. The plans are reviewed when the care plans ae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and group activities and regular events are offered. Residents and families/whanau are involved in evaluating and improving the programme through residents’ meetings (minutes of meetings were reviewed), and satisfactory surveys. Residents interviewed confirmed they find the programme interesting and motivating. Van outings in the community with designated drivers are popular for residents as seen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residents living there. Activities are offered at times when residents are most physically active and or restless. This includes activities planned between 6am and 6am (24 hours) on the activities plan sighted. Resources are available for the care staff to access as required. Family interviewed appreciated the activities provided for their relatives and stated there was always and activity in progress for the residents to be involved as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by the care staff. If any change is noted, it is reported to the RNs. The RNs review and document in the progress notes when there is need or changes in residents’ conditions and weekly as a minimum. One of the senior registered nurses discussed the Carter House schedules for the RN primary nurses to complete the interRAI assessments, lifestyle care plans and to ensure the dates for the GP reviews are planned. The interRAI assessments were up-to-date.</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in conjunction with the six-monthly interRAI reassessments, or as residents’ needs change. Where progress is different from expected, the service responds by initiating changes to the plan of care. Short-term care plans were consistently reviewed, and progress evaluated as clinically indicated for acute infections and wounds in the reviewed files. Unresolved problems were added to the long- term care plans after three weeks. Residents and families/whānau interviewed confirmed involvement in evaluation of progress and any resulting changes. The family communication records evidenced that family are notified when a resident’s condition changes or when any issues arise. Short term care plans were closed off when the short-term problems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29 November 2019)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There have been no structural changes to the building. Improvements to the internal and external environment were observed, for example, replacement of flooring, painting, new furniture and general enhancements for the benefit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ICC reviews all reported infection,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The clinical indicator monthly summary was reviewed. Information is sent through to the organisation’s support office and quality staff produce graphs that identify any trends and/or any comparisons with the previous month or year for the surveillance programme. Results of the surveillance programme are then shared with staff via regular staff meetings and at staff handovers. Data is benchmarked externally with the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was not available for interview. The CSM explained the process for enabler and restraint management in the facility and demonstrated a sound understanding of the organisation’s policies, procedures and practice. Staff education on restraint minimisation is ongoing.</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was one hospital resident who needed to be positioned in a fall out chair for safety reasons but could not consent to this and one resident using bed rails voluntarily as an enabler. Restraint is used as a last resort when all alternatives have been explored. This was evident from the review of documents, observations on site and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Carter House</w:t>
    </w:r>
    <w:bookmarkEnd w:id="58"/>
    <w:r>
      <w:rPr>
        <w:rFonts w:cs="Arial"/>
        <w:sz w:val="16"/>
        <w:szCs w:val="20"/>
      </w:rPr>
      <w:tab/>
      <w:t xml:space="preserve">Date of Audit: </w:t>
    </w:r>
    <w:bookmarkStart w:id="59" w:name="AuditStartDate1"/>
    <w:r>
      <w:rPr>
        <w:rFonts w:cs="Arial"/>
        <w:sz w:val="16"/>
        <w:szCs w:val="20"/>
      </w:rPr>
      <w:t>1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