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Edenvale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Edenvale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Edenvale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2019</w:t>
      </w:r>
      <w:bookmarkEnd w:id="7"/>
      <w:r w:rsidRPr="009418D4">
        <w:rPr>
          <w:rFonts w:cs="Arial"/>
        </w:rPr>
        <w:tab/>
        <w:t xml:space="preserve">End date: </w:t>
      </w:r>
      <w:bookmarkStart w:id="8" w:name="AuditEndDate"/>
      <w:r w:rsidR="00A4268A">
        <w:rPr>
          <w:rFonts w:cs="Arial"/>
        </w:rPr>
        <w:t>25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Edenvale Rest Home is owned and governed by a board of trustees. The management of the home is overseen by the general manager (GM). The residence provides care for up to 43 residents. There were 40 residents on the day of the audit. Three levels of care are provided - rest home, secure dementia care and hospital level care. </w:t>
      </w:r>
    </w:p>
    <w:p w:rsidRPr="00A4268A">
      <w:pPr>
        <w:spacing w:before="240" w:line="276" w:lineRule="auto"/>
        <w:rPr>
          <w:rFonts w:eastAsia="Calibri"/>
        </w:rPr>
      </w:pPr>
      <w:r w:rsidRPr="00A4268A">
        <w:rPr>
          <w:rFonts w:eastAsia="Calibri"/>
        </w:rPr>
        <w:t>This surveillance audit was conducted in accordance with the relevant Health and Disability Standards and the contract with the district health board (DHB). The audit process included a review of policies and procedures, the review of residents and staff files, observations and interviews with residents, staff, management and a general practitioner. Four family members were interviewed on the day of the audit.</w:t>
      </w:r>
    </w:p>
    <w:p w:rsidRPr="00A4268A">
      <w:pPr>
        <w:spacing w:before="240" w:line="276" w:lineRule="auto"/>
        <w:rPr>
          <w:rFonts w:eastAsia="Calibri"/>
        </w:rPr>
      </w:pPr>
      <w:r w:rsidRPr="00A4268A">
        <w:rPr>
          <w:rFonts w:eastAsia="Calibri"/>
        </w:rPr>
        <w:t>Four areas for improvement were identified during this audit relating to assessments, care planning, food service and medicine management. The organisation has maintained the continuous improvement rating around their quality and risk management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There is a robust process for managing complaints and a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plans include the scope, direction, goals, values and mission statement of the organisation. Reports monitoring the services</w:t>
      </w:r>
    </w:p>
    <w:p w:rsidRPr="00A4268A">
      <w:pPr>
        <w:spacing w:before="240" w:line="276" w:lineRule="auto"/>
        <w:rPr>
          <w:rFonts w:eastAsia="Calibri"/>
        </w:rPr>
      </w:pPr>
      <w:r w:rsidRPr="00A4268A">
        <w:rPr>
          <w:rFonts w:eastAsia="Calibri"/>
        </w:rPr>
        <w:t>provided to the governing body are regular and effective. An experienced and suitably qualified person manages the facility supported by the clinical leader and the administration manager.</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The quality and risk management system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A framework for internal auditing is used and this has been further developed since the last audit. Improvement plans are developed, and corrective action taken to address service shortfalls.</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are sufficient to provide the care needs of residents at all times.</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by the Needs Assessment Service Co-ordination (NASC) prior to entry to the service to establish a level of care. Relevant information is provided to potential resident/family prior to entry into the service and on admission to the service.</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is provided by an external catering contractor. Residents' food preferences and dietary requirements are identified on admission and accommodated. All meals are cooked on-site. The kitchen is well equipped for the size of the service. Food, fluid and nutritional needs of residents are provided in line with recognised nutritional guidelines and additional requirements/modified needs were being met.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The physical environment promotes safe mobility and aids independence. </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 xml:space="preserve">Waste and hazardous substances are well managed. Staff use protective equipment and clothing. Chemicals, soiled linen and equipment are safely stored. Cleaning and laundry services are provided by an external contractor onsite and evaluated for effectiveness. Staff are trained in emergency procedures, use of emergency equipment and supplies and attend regular fire drills. Fire evacuation procedures are regularly practised. Families reported a timely staff response to call bells. Security is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are clear and detailed documented guidelines on the use of restraints and enablers. There were no residents using restraint or enablers at the time of the audit. Staff interviewed demonstrated a good understanding of restraint and enabler use and receive ongoing education in the management of challenging behaviours.</w:t>
      </w:r>
    </w:p>
    <w:p w:rsidRPr="00A4268A">
      <w:pPr>
        <w:spacing w:before="240" w:line="276" w:lineRule="auto"/>
        <w:rPr>
          <w:rFonts w:eastAsia="Calibri"/>
        </w:rPr>
      </w:pPr>
      <w:r w:rsidRPr="00A4268A">
        <w:rPr>
          <w:rFonts w:eastAsia="Calibri"/>
        </w:rPr>
        <w:t>There is environmental restraint in place to ensure safety of the residents in the dementia unit. There is a keypad exit from the main entrance which enables visitors to come and go as they please.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rest home has an appropriate infection prevention and control management program. The program is resourced to include collection and collation of surveillance data. Benchmarking occurs against previous periods of internal data. Infection prevention activity is evident in the provision of care and potential outbreak identification is well understood. The facility has not had an outbreak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29"/>
        <w:gridCol w:w="1280"/>
        <w:gridCol w:w="90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Edenvale Trust Board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admission information pack is provided to consumers at inquiry stage with all the information about the service, service agreement and charges to assist consumers with making informed choices about admission. 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(EPOA) requirements and processes for residents unable to consent are defined and documented, as relevant, in the residents’ record. Activated EPOA’s were sighted in reviewed residents’ files where required for example; for residents under dementia level of care.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maintain links with their family and the community by attending a variety of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complaints policy. The policy is included in every admission pack and printed on the back of the complaints forms which are available in the lounge. The GM manages all complaints. Once a complaint is received it is logged in the register which identifies the nature of the complaint and the follow up action taken. Complaints are discussed at staff meetings and at quality and risk meetings. There was evidence that complaints are used to identify areas that can be improved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(where appropriate) are informed of the outcome of complaints investigations. Residents and relatives interviewed confirmed their knowledge of, and access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Actions required following a complaint received by the DHB in September 2018 had been implemented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It was reported by the GM that there have been no complaints or investigations by the Ministry of Health (MoH), Health and Disability Commissioner, District Health Board (DHB) or Accident Compensation Corporation (ACC)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 provided and discussion with the nurses on admission. The Code is displayed in lounge and dining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Residents’ personal belongings are kept safe and there is a system in place to record personal items brought in for accountability purposes. Records were sighted in reviewed files.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rooms have been reconfigured to single use. One couple was sharing a double room, consent forms were sighted in their files.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as able for example, participating in provision of own personal cares if desired and with assistance if required.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Interviewed family and residents reported that there were no suspected or witnessed episodes of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on Maori health that guide staff to integrate their cultural values and beliefs when required. Interviewed staff demonstrated knowledge and understanding of the principles of the Treaty of Waitangi and how to apply it into day to day practice, for example the importance of whānau. There is a current Māori health plan developed with input from cultural advisers. Guidance on tikanga best practice is available. There were no residents who identify as Māori on the days of the audit. Interviewed staff reported that they have received training on Maori health and are aware of the cultural needs of Maori. Training records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Date about individual ethnic, cultural, spiritual, values and beliefs are collected on admission by the RNs through the assessment process. Residents and family interviewed verified that they were consulted on their individual culture, values and beliefs and that staff respected these. Residents’ personal preferences requiring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and health care assistants (HCAs)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the hospice/palliative care team, diabetes nurse specialist, wound care specialist, psycho geriatrician,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HCAs and RNs attend to local DHB study days,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internal audits completed regularly and corrective actions implemented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health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Interviewed family confirmed involvement in multidisciplinary meetings where information is shared, and feedback is sought from the residents and/or family.</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There is a policy and procedure in place to guide staff on the process for seeking interpreter services when required. The manager is also available to guide staff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is owned and governed by a board of trustees. Contracts are held with the district health board and the Ministry of Health for 21 rest home residents,12 hospital residents, and 12 dementia residents in a secure dementia unit. One resident funded by a rest home contract is under 65years old. There were 40 residents in-house on audit day. The facility reconfigured its available capacity from 45 to 43 in September 2018 by using double rooms as single rooms only. This did not require any change to the facility, management or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attends board meetings and writes the annual business plan which is signed off by the board at the beginning of each calendar year. The 2019 business plan was sighted. This sets out the strategy for the organisation. The board has a trust deed which is underpinned by Christian values. The organisation has a philosophy documented in the purpose and objective statement updated in June 2019. The GM provides a progress report on the annual plan at each board meeting. This was confirmed in the board report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is responsible for the day to day running of the home and has been in the role for 18 years, and in management for more than 20 years. The GM has a current contract with the board and a detailed job description. The clinical leader is a registered nurse and supports the GM. The GM is also supported by the administration manager. There is a delegation of authority that defines these roles.  The GM keeps skills current through membership of appropriate organisations and attendance at relevant courses.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clinical leader and the administration manager carry out all the required duties under delegated authority with the support of the board chairperson. The clinical leader is an experienced registered nurse who is able to take responsibility for any clinical issues that may arise. The board chairperson provides support as required. There is a formal handover from the GM.  Staff reported the current arrangements work well. The service management reflects a resident and family centred approach as indicated in the values of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established quality and risk system that is embedded into practice. Quality data is collected across all levels of the organisation. Committee structure and reporting procedures are set out in documented policies. Quality related information is reported to the quality and risk meeting. (QRM).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QRM meetings are held monthly, monitoring, collation and evaluation of quality and risk data is comprehensive.  Quality and risk data, including trends in data and benchmarked results are discussed in the meetings and were evident in meeting minutes sampled. There is evidence of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Additional spot audits are also implemented. There is evidence of internal audits occurring as per the audit schedule. Corrective actions are established, implemented and are signed off when completed. The continuous improvement issued at the last audit (refer criterion 1.2.3.7)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asked to complete an annual satisfaction survey and asked monthly at their meetings if there are areas where improvements can be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reviewed every two years (or sooner if requirements change) and new policies, or changes to policy, are communicated to staff. Obsolete documents are removed from circulation. All documents are issued in hard copy. A secure archive storage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active risk management system. Risks are identified and monitored. Health and safety goals are established and regularly reviewed. Risk management, hazard control and emergency policies and procedures are implemented.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is understood and is reflected in policy. The GM confirmed an awareness of the requirement to notify relevant authorities in relation to essential notifications. An unexplained injury has been reported to the District Health Board and is currently being investigated. It was reported that there have been no other adverse events, incidents or accidents which require reporting to external bodies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accident and incident process and a register is maintained. Each accident and incident are reported, and information is used to improve service.  Incident reports were sampled and confirmed that family were contacted, investigation was undertaken, and that reporting to staff and quality meetings occurs. Appropriate changes and improvements were made when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 management that reflect good employment practice and meet the requirements of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sampled contained job descriptions, employment contracts, qualifications and competencies relevant to the role. Employees who were not from New Zealand had these checks undertaken prior to employment. Professional qualifications are validated, including those visiting of associated professionals, and current practising certificates for the registered nurses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an orientation to the organisation and to their role. There was an electronic education data base, and this showed that all staff had either completed, or were working their way through, the six orientation modules. Staff also undertake training that has been identified as required. Topics for the six modules included the essential components of service delivery and the organisations on-going education requirements under their contract with the district health board.  Records of staff education are maintained. All care staff either have dementia qualifications or are enrolled in dementia care units. The clinical leader is an InterRai Assessor and two other registered nurses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performance appraisals are undertaken every two years. Ongoing staff performance is monitored by the GM and clinical leader continually between the formal appraisals through a combination of several activities. For example, the internal audits, ongoing observations and attendance at regular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(24/7).The recently appointed clinical leader is responsible for the oversight of clinical services and there is always a registered nurse and at least two nurse aids on site. The clinical leader provides on-call back up. Rosters sampled confirmed that there is a sufficient number of staff with the required skills and knowledge to ensure that all residents’ needs were met over the 24-hour period. In the event of an unplanned staff absence, the roster can be filled by another staff member or an agency staff member. The GM has a sound relationship with an agency and has agency nurses who know the home and residents to call on if required. There is also sufficient flexibility that if additional staff are needed due to increased workload this can readily occur. </w:t>
            </w:r>
          </w:p>
          <w:p w:rsidR="00EB7645" w:rsidRPr="00BE00C7" w:rsidP="00BE00C7">
            <w:pPr>
              <w:pStyle w:val="OutcomeDescription"/>
              <w:spacing w:before="120" w:after="120"/>
              <w:rPr>
                <w:rFonts w:cs="Arial"/>
                <w:b w:val="0"/>
                <w:lang w:eastAsia="en-NZ"/>
              </w:rPr>
            </w:pPr>
            <w:r w:rsidRPr="00BE00C7">
              <w:rPr>
                <w:rFonts w:cs="Arial"/>
                <w:b w:val="0"/>
                <w:lang w:eastAsia="en-NZ"/>
              </w:rPr>
              <w:t>The quality initiative identified at the last audit regarding case management continues. All registered nurses are required to complete the InterRAI requirements for the residents they case manage.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are electronic and integrated. 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There are two desk computers and two laptops for staff use to ensure they have ready access for data entry and reviewing information. Care plans are electronic, and the program raises an alert for overdue entries. Archived records are held securely on site and are readily retrievable.</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desk computers and two laptops for staff use to ensure they have ready access for data entry and reviewing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manager is responsible for managing the inquiries and follow up of inquiries when required. A record is kept of all inquiries,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and the RNs are responsible for completing the admissions.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data,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by the nursing staff and the GP, with an escort provided as appropriate. The service uses a service specific transfer form to facilitate transfer of residents to and from acute care services. There is open communication between all services, the resident and the family. At the time of transition between services, appropriate information is provided for the ongoing management of the resident. All referrals are documented in the progress notes. An example reviewed of a resident who was recently transferred to the local acute care facility showed that the family was informed and a follow up with the acute service was completed by the clinical leader.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days of audit. The staff observed administering medicines demonstrated good knowledge and had a clear understanding of their roles and responsibilities related to each stage of medicine management. All staff who administer medicines are competent to perform the function they manage. Current medication administration competencies for all staff who administer medicines were sighted.</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Three-monthly GP medication reviews were consistently recorded on the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There is a self–medication administration policy in place to ensure this is managed in a safe manner if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are completed by the clinical leader. An improvement is required to ensure that administered pro re nata (PRN) medicines are consistently evaluated for effectiveness.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external contractor and is in line with recognised nutritional guidelines for older people. The menu follows summer, autumn, winter and spring patterns and has been reviewed and certified as adequate by a qualified dietitian within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food control plan and registration issued by ministry of primary industries. Food temperatures, including for high risk items, are monitored appropriately and recorded as part of the plan. The unit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completed for each resident on admission to the facility and a dietary profile developed. A food service request form is sent to the kitchen staff with personal food preferences, any special diets and modified texture requirements, and these are accommodated in the daily meal plan. Any food requirements changes are made known to the kitchen staff as required. Residents in the secure dementia unit always have access to food and fluids to meet their nutritional needs.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verification audit was completed by an external provider on 24 September 2019 and the verification outcome was acceptable. Recommendations from the verification audit were to ensure that fan grills and oven filters are cleaned regularly. Photographic evidence provided post audit showing that the fans have now been cleaned and no further action is required. The corrective action is now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The manager reported that phone referrals are also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a needs assessment by the Needs Assessment and Service Coordination (NASC) agency before admission. The resident and/family bring a completed resident profile on admission to inform care planning. The sample of care plans reviewed had an integrated range of resident-related information. Residents’ files reviewed had completed interRAI assessments although they were not consistently completed every six months as required. Residents and families confirmed their involvement in the assessment process. An improvement is required to ensure that interRAI assessments are completed six monthly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findings in consultation with the resident and/or family/whanau, inform the care plan and assist in identifying the required support for the residents to meet their goals and desired outcomes. Care plans are reviewed six-monthly by the registered nurses as triggered by the electronic software. Infection reports were completed for acute infections and signed off when the condition resolved.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evidenced service integration and promoted continuity of service delivery with progress notes, activities note, medical and allied health professionals’ notations clearly written, informative and relevant. Any change in care required is documented and verbally passed on to relevant staff at shift handovers. Interviewed residents and families reported participation in the development of care plans.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all needs identified by the regular assessments, daily monitoring and interRAI assessments are reflected in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verified that care provided to residents was consistent with their needs, goals and the plan of care. The interviewed GP verified that medical input is sought in a timely manner, that medical orders are followed, and care is implemented promptly.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is undergoing diversional therapy training through Career Force. A visitor assists informally.</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completed on admission to ascertain residents’ needs, interests, abilities and social requirements. Activities assessments are completed by the activities coordinator and are regularly reviewed to help formulate an activities programme that is meaningful to the residents. The residents’ activity needs are evaluated six-monthly as part of activities care plan review. Daily attendance records are maintained, electronic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family are involved in evaluating and improving the programme through residents’ meetings and satisfaction surveys. Residents interviewed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with dementia. 24-hour activities plans are developed for all residents in the dementia unit. Activities are offered at times when residents are most physically active and/or restless. This includes sing a long music, painting, ball games, simple quiz, tactile and sensory activities, reminiscing and external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under 65 residents is comfortable with joining the current activities planned for the rest home and hospital level residents and participates in other individual activities of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or as residents’ needs change. Where progress is different from expected, the service responds by initiating changes to the plan of care. Evaluation of progress as clinically indicated was noted for acute infections and wounds. Unresolved problems are added to long term care plans. Residents and families interviewed confirmed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There are two GPs contracted by the service and they are on call if required and cover for each other when one is on leave. If the need for other non-urgent services is indicated or requested, the GP or RN sends a referral to seek specialist input. Copies of referrals were sighted in residents’ files, including to mental health team, wound specialists and ophthalmologist. The resident and the family are kept informed of the referral process, as verified by documentation and interviews. Any acute/urgent referrals are attended to immediately, such as sending the resident to accident and emergency in an ambulance if the circumstances dictate. Emergency referral documents were sighted in the reviewed documents.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There is a designated maintenance person who ensures minimum quantities of hazardous substances are held onsite. An external company is contracted to supply and manage all chemicals and cleaning products and they also provide relevant training for staff. Material safety data sheets were available where chemicals were stored, and staff interviewed knew what to do should any chemical spill/event occur. 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hazardous substances list is maintained. Gas bottles are securely stored and checked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30 September 2019) was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were in place to ensure the residents’ physical environment and facilities were fit for their purpose and maintained. The testing and tagging of electrical equipment and calibration of bio medical equipment is undertaken annually as confirmed in documentation reviewed, interviews with maintenance personnel and observation of the environment. The electrician had appropriate current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Efforts were made to ensure the environment was hazard free, that residents were safe, and independence was promoted. Secure external areas were safely maintained and were appropriate to the resident group and setting. The walking paths were designed to encourage purposeful walking around the garden. A safe, sheltered external area was provided for smokers. </w:t>
            </w:r>
          </w:p>
          <w:p w:rsidR="00EB7645" w:rsidRPr="00BE00C7" w:rsidP="00BE00C7">
            <w:pPr>
              <w:pStyle w:val="OutcomeDescription"/>
              <w:spacing w:before="120" w:after="120"/>
              <w:rPr>
                <w:rFonts w:cs="Arial"/>
                <w:b w:val="0"/>
                <w:lang w:eastAsia="en-NZ"/>
              </w:rPr>
            </w:pPr>
            <w:r w:rsidRPr="00BE00C7">
              <w:rPr>
                <w:rFonts w:cs="Arial"/>
                <w:b w:val="0"/>
                <w:lang w:eastAsia="en-NZ"/>
              </w:rPr>
              <w:t>Staff, family members/EPOA confirmed they knew the processes they should follow if any repairs or maintenance was required, that any requests are appropriately actioned and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Twenty-six rooms have en suite bathrooms. There are adequate numbers of shared accessible bathroom and toilet facilities throughout the facility for general resident use Appropriately secured and approved handrails are provided in the toilet/shower areas, and other equipment/accessories are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12 dual purpose bedrooms in the rest home area, 15 hospital bedrooms plus 14 bedrooms in the secure care unit. Four rooms in the rest home are double sized but only used as such for married couples who request shared accommodation. Adequate personal space is provided to allow residents and staff to move around within their bedrooms safely. Rooms are personalised with furnishings, photos and other personal items displayed. Staff and family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social activities. The dining and lounge areas are spacious and enable easy access for residents and staff. Residents can access small sitting areas for privacy, if required. A variety of furniture is provided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and cleaning services and trained staff are provided on site by external professional contractors. MSDS and local laundry and cleaning policies were provided. There is a dedicated laundry with commercial appliances and a clean linen room. There are outside lines for drying and airing. Laundry staff are provided by the contractor and demonstrated a sound knowledge of the laundry processes, dirty/clean flow and handling of soiled linen Family interviewed reported the laundry is managed well and the residents’ clothes are returned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Cleaning staff have received appropriate training, were aware of infection control and spill clean-up processes. There is an adequate cleaning room. Cleaning equipment is provided and maintained by the contractor. 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by the contractor and audited by the facility GM. The facility was clean and fresh on audit day. Staff and residents interviewed reported that general cleanliness was consistently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Emergency planning considers the unique needs of people with dementia. Disaster and civil defence planning guides direct the facility in their preparation for disasters and described the procedures to be followed in the event of a fire or other emergency. The current fire evacuation plan was approved by the New Zealand Fire Service in 1998 and a small adjustment approved in 2017. The facility has wired smoke alarms, sprinklers, fire hoses and extinguishers, all with current service checks. A trial evacuation takes place six-monthly, the most recent being in September this year (2019). The orientation programme includes response to medical emergencies, fire and security training. Staff interviewed confirmed their awareness of the emergency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(7 days), water (500 litre water storage tank), blankets, mobile phones and a gas BBQ were sighted. Emergency lighting is regularly tested and will function on batteries for 7-8 hours.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Call bells and sensor mats alert staff to residents requiring assistance. Call system audits are completed on a regular basis and families reported staff respond promptly to</w:t>
            </w:r>
          </w:p>
          <w:p w:rsidR="00EB7645" w:rsidRPr="00BE00C7" w:rsidP="00BE00C7">
            <w:pPr>
              <w:pStyle w:val="OutcomeDescription"/>
              <w:spacing w:before="120" w:after="120"/>
              <w:rPr>
                <w:rFonts w:cs="Arial"/>
                <w:b w:val="0"/>
                <w:lang w:eastAsia="en-NZ"/>
              </w:rPr>
            </w:pPr>
            <w:r w:rsidRPr="00BE00C7">
              <w:rPr>
                <w:rFonts w:cs="Arial"/>
                <w:b w:val="0"/>
                <w:lang w:eastAsia="en-NZ"/>
              </w:rPr>
              <w:t>call bells.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5.00pm daily. There are keypads on all external doors and the entrance to the dementia unit that automatically release if the fire alarms are activated. There is CCTV throughout the facility. Staff do regular security checks at night and reported that they feel safe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to maintain a comfortable environment. Rooms have natural light, opening external windows and communal areas have doors that open onto secure outside garden areas. Heating is provided by individually controlled electric wall panels in resident rooms and in the communal areas. Areas were warm and well ventilated throughout the audit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programme to minimise the risk of infection to residents, staff and visitors. The programme is guided by a current infection control manual, with input from external specialists. The infection control programme is reviewed annually through an annual report with trend analysis and has goals for the upcoming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 is the designated infection prevention and control coordinator, whose role and responsibilities are defined in a job description. Infection control matters, including surveillance results are reported monthly to the monthly quality and risk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about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family meetings that cover aspects of infection control and if they are unwell, it is recommended that they do not visit the service. During higher risk times of community infections and winter months notices are placed at the door to remind people not to visit if they are unwell. There is sanitising hand gel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have appropriate skills, knowledge and qualifications for the role. The coordinator has attended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are accessed from the infection control team at the DHB, the gerontology nurse specialist, the GP and other organisation infection control coordinators. The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The policies and procedures are developed by the organisation with advice from external specialists. Policies include guidelines for managing outbreaks. Guidelines and policies are reviewed at least biennially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prevention and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infection prevention and control coordinator (RN) and external specialists. Infection control is part of the mandatory training program completed by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Content of the training is documented and evaluated to ensure it is relevant, current and understood. A record of attendance is maintained. When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receive information and individual education on admission relating to hand washing, soiled linen, disposal of rubbish and continence pads, and remaining in their room if unwell. A resident orientation checklist is completed. Further education is provided if specific incidents occur. The family meetings are used to remind families and visitors regarding standard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The infection control coordinator reviews all reported infections, and these are documented on a surveillance list. New infections and any required management plan are discussed at handover, to ensure early intervention occurs, with short term care plans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entered in the electronic data base, collated and analysed to identify any trends, possible causative factors and required actions. Reports identify infection types and infection rates, use of and response to antibiotics. Results of the surveillance programme are shared with staff via regular staff meetings and at staff handovers. Where there has been an increase in infections, corrective actions are implemented. There has not been any recorded outbreak of infections in the data sampled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is the clinical leader who demonstrated a sound understanding of the organisation’s policies, procedures and practice and staff roles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or enablers. The restraint policy states that restraint is used as a last resort when all alternatives have been explored. It also states that the use of enablers shall be voluntary, and the least restrictive option will be used to promote and maintain residents’ independence and safety. This was evident on review of the restraint approval group meeting minutes and from interviews with staff. Interviewed staff were aware of the difference between a restraint and an enabler. There is a restraint approval group in place.</w:t>
            </w:r>
          </w:p>
          <w:p w:rsidR="00EB7645" w:rsidRPr="00BE00C7" w:rsidP="00BE00C7">
            <w:pPr>
              <w:pStyle w:val="OutcomeDescription"/>
              <w:spacing w:before="120" w:after="120"/>
              <w:rPr>
                <w:rFonts w:cs="Arial"/>
                <w:b w:val="0"/>
                <w:lang w:eastAsia="en-NZ"/>
              </w:rPr>
            </w:pPr>
            <w:r w:rsidRPr="00BE00C7">
              <w:rPr>
                <w:rFonts w:cs="Arial"/>
                <w:b w:val="0"/>
                <w:lang w:eastAsia="en-NZ"/>
              </w:rPr>
              <w:t>Restraint competencies were completed for all staff and challenging behaviour and de-escalation techniques are discussed as part of the competency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08"/>
        <w:gridCol w:w="1280"/>
        <w:gridCol w:w="6759"/>
        <w:gridCol w:w="1833"/>
        <w:gridCol w:w="22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reviewed medication charts had current residents’ photos for identification. Allergies and sensitivities were documented together with special instructions where required. Medication reconciliation is completed by the RNs and documentation was evidenced on the reviewed files. There were antibiotics in stock and records of the stock on site were kept; antibiotic usage monitoring was conducted. Monthly stock take checks were completed by the RNs. Reviewed electronic medication signing charts evidenced that administered medicines were consistently signed for. However, an improvement is required to ensure evaluation of administered PRN medicines is documented consistently.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Outcomes for PRN medicines administered were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administered PRN medicines are evaluated consistently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unit manager is responsible for the food procurement and there is a process in place to manage this. On the days of the audit, kitchen staff were observed using appropriate infection control techniques e.g. wearing of hair nets and use of gloves where required. The food preparation area was clean. Food was served from baine marries. Residents were served attractive meals in amounts desired by residents. Residents were given a choice of an alternative meal when requested. The kitchen area was clean, but an improvement is required to ensure that the fan grills inside the cool room and oven filters are cleaned regularly.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Verification audit completed for the food services identified that dust had built up on the fan grills inside the cool room and the oven filters.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commercial cleaning is completed for the identified areas. Photographic evidence provided post audit showed that the fans and oven grills have now been cleaned and the corrective action is now closed.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utilise the standardised electronic assessment tools to gather information regarding the resident, in consultation with the resident and their relatives where appropriate. Assessments are completed six-monthly, and the information is automatically populated into the care plans. However, some information is not populated as required (Refer 1.3.5.2). There are three interRAI trained RNs including the clinical leader. InterRAI assessments are not consistently being completed six-monthly.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were not completed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interRAI assessments are completed six-monthly.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developed in consultation with the resident/whanau. Only two out of seven care plans reviewed reflected all the support needs of the resident, and the outcomes of the integrated assessment process and other relevant clinical information. Information used from assessments, GP medical notes and discharge summaries is used to inform the required support/interventions to meet the residents’ needs. Five of seven care plans did not reflect all residents’ required interventions and needs/supports. Care plan reviews are not completed following interRAI assessments, as a result, some interRAI triggered needs are not addressed in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care plans reviewed did not have all the support and/or interventions required to achieve the desired goals and outcomes as identified by the ongoing assessment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needs identified by regular assessments, daily monitoring and interRAI assessments are reflected in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8384"/>
        <w:gridCol w:w="28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continues to identify quality issues through its comprehensive quality systems and the review of qualitative and quantitative data. Improvements continue to be made including improved outcomes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example of an outcome from the continued analysis of the quality data gathered is the addition of spot audits to the internal audit schedule last year. These internal audits have been maintained in specific areas such as the kitchen and laundry and the better service flow and time resource initially achieved has been maintained. This was confirmed in records of audits and interviews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data base has been installed that enables monitoring of compliance with specified time frames in various areas. For example, staff training requirements; The data base provides an alert when a competency is due for renewal and sends a reminder to the staff member. A further alert is raised if the time frame is not met prompting follow up by the clinical leader. Reports are drawn from the data base to inform reports to the QRM team and to the board. Staff interviews and training records indicate that all requirements are kept up to date. </w:t>
              <w:br/>
              <w:t xml:space="preserve">A data base has also been developed to monitor parameters for residents’ vital signs and weight. Data is entered daily by care staff. An alert is raised when negative trends occur or a recording falls outside of defined parameters and triggers a re-assessment by the registered nurse. This has resulted in better management of resident care with a real time response to changes before they become problems.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Continuation of the analysis of the results of internal audits has maintained the better service flow and time resource initially achieved. Improved monitoring of staff training, and resident health status has resulted in better management of resident care with more timely response to changes before they become problems.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Edenvale Trust Board</w:t>
    </w:r>
    <w:bookmarkEnd w:id="58"/>
    <w:r>
      <w:rPr>
        <w:rFonts w:cs="Arial"/>
        <w:sz w:val="16"/>
        <w:szCs w:val="20"/>
      </w:rPr>
      <w:tab/>
      <w:t xml:space="preserve">Date of Audit: </w:t>
    </w:r>
    <w:bookmarkStart w:id="59" w:name="AuditStartDate1"/>
    <w:r>
      <w:rPr>
        <w:rFonts w:cs="Arial"/>
        <w:sz w:val="16"/>
        <w:szCs w:val="20"/>
      </w:rPr>
      <w:t>24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