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Hodgson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Hodgson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September 2019</w:t>
      </w:r>
      <w:bookmarkEnd w:id="7"/>
      <w:r w:rsidRPr="009418D4">
        <w:rPr>
          <w:rFonts w:cs="Arial"/>
        </w:rPr>
        <w:tab/>
        <w:t xml:space="preserve">End date: </w:t>
      </w:r>
      <w:bookmarkStart w:id="8" w:name="AuditEndDate"/>
      <w:r w:rsidR="00A4268A">
        <w:rPr>
          <w:rFonts w:cs="Arial"/>
        </w:rPr>
        <w:t>30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Hodgson House provides rest home, hospital and palliative care for a maximum of 65 residents. The service is owned and operated by Heritage Lifecare Limited (HLL) and managed by a care home manager who is a registered nurse with clinical and managerial experience in the delivery of aged care services. This person is supported by a clinical services manager.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providers’ contract with the district health board. (DHB). The DHB also requested additional information on specific areas of service delivery and staff training, which is responded to in the body of the report. The audit process included review of policy and procedures, review of resident and staff files, observations and interviews with residents, managers, families and staff. A clinical nurse specialist for palliative care, and a community occupational therapist were interviewed on site. There was no general practitioner (GP) available for interview.</w:t>
      </w:r>
    </w:p>
    <w:p w:rsidRPr="00A4268A">
      <w:pPr>
        <w:spacing w:before="240" w:line="276" w:lineRule="auto"/>
        <w:rPr>
          <w:rFonts w:eastAsia="Calibri"/>
        </w:rPr>
      </w:pPr>
      <w:r w:rsidRPr="00A4268A">
        <w:rPr>
          <w:rFonts w:eastAsia="Calibri"/>
        </w:rPr>
        <w:t xml:space="preserve">Since the previous certification audit in January 2018 there has been an increase in the number of beds from 64 to 65 beds, and a new care home manager employed. </w:t>
      </w:r>
    </w:p>
    <w:p w:rsidRPr="00A4268A">
      <w:pPr>
        <w:spacing w:before="240" w:line="276" w:lineRule="auto"/>
        <w:rPr>
          <w:rFonts w:eastAsia="Calibri"/>
        </w:rPr>
      </w:pPr>
      <w:r w:rsidRPr="00A4268A">
        <w:rPr>
          <w:rFonts w:eastAsia="Calibri"/>
        </w:rPr>
        <w:t xml:space="preserve">There were no improvements identified as a result of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effective communication systems between staff, and residents and their families and with other health providers. The service adheres to the practices of open disclosure where necessary. </w:t>
      </w:r>
    </w:p>
    <w:p w:rsidRPr="00A4268A">
      <w:pPr>
        <w:spacing w:before="240" w:line="276" w:lineRule="auto"/>
        <w:rPr>
          <w:rFonts w:eastAsia="Calibri"/>
        </w:rPr>
      </w:pPr>
      <w:r w:rsidRPr="00A4268A">
        <w:rPr>
          <w:rFonts w:eastAsia="Calibri"/>
        </w:rPr>
        <w:t>Review of complaint records and interviews with staff, residents and families demonstrated that complaints received since the previous audit have been managed effectively. There have been no complaints to the Office of the Health and Disability Commissioner (HDC), no police investigations, coroner’s inquests or issues-based audits.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an effective quality and risk management system which includes regular monitoring of all service areas.</w:t>
      </w:r>
    </w:p>
    <w:p w:rsidRPr="00A4268A">
      <w:pPr>
        <w:spacing w:before="240" w:line="276" w:lineRule="auto"/>
        <w:rPr>
          <w:rFonts w:eastAsia="Calibri"/>
        </w:rPr>
      </w:pPr>
      <w:r w:rsidRPr="00A4268A">
        <w:rPr>
          <w:rFonts w:eastAsia="Calibri"/>
        </w:rPr>
        <w:t xml:space="preserve">Adverse events are reliably reported by all levels of staff. There is evidence that people impacted by an adverse event are notified for example, general practitioners and families. Notification of serious events to regulatory bodies is occurring as required.  </w:t>
      </w:r>
    </w:p>
    <w:p w:rsidRPr="00A4268A">
      <w:pPr>
        <w:spacing w:before="240" w:line="276" w:lineRule="auto"/>
        <w:rPr>
          <w:rFonts w:eastAsia="Calibri"/>
        </w:rPr>
      </w:pPr>
      <w:r w:rsidRPr="00A4268A">
        <w:rPr>
          <w:rFonts w:eastAsia="Calibri"/>
        </w:rPr>
        <w:t xml:space="preserve">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w:t>
      </w:r>
    </w:p>
    <w:p w:rsidRPr="00A4268A">
      <w:pPr>
        <w:spacing w:before="240" w:line="276" w:lineRule="auto"/>
        <w:rPr>
          <w:rFonts w:eastAsia="Calibri"/>
        </w:rPr>
      </w:pPr>
      <w:r w:rsidRPr="00A4268A">
        <w:rPr>
          <w:rFonts w:eastAsia="Calibri"/>
        </w:rPr>
        <w:t>There were adequate numbers of skilled and experienced staff on site to meet the needs of residents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resident/family.</w:t>
      </w:r>
    </w:p>
    <w:p w:rsidRPr="00A4268A" w:rsidP="00621629">
      <w:pPr>
        <w:spacing w:before="240" w:line="276" w:lineRule="auto"/>
        <w:rPr>
          <w:rFonts w:eastAsia="Calibri"/>
        </w:rPr>
      </w:pPr>
      <w:r w:rsidRPr="00A4268A">
        <w:rPr>
          <w:rFonts w:eastAsia="Calibri"/>
        </w:rPr>
        <w:t>The multidisciplinary team, including the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Nutritional meals, snacks and fluids are provided in line with recognised nutritional guidelines. The service has a current food control plan. Special dietary requirements are catered for. Residents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Hodgson House has a current building warrant of fitness. Improvements to the interior and exterior areas of the facility were noted on the day of the audit. Residents and families interviewed were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systems and practices meet the requirements of this standard. On the day of audit there were two residents using bed rails as restraints and one resident using bed rails as an enabler. Assessment, consent, approval and monitoring and review occurs in relation to the use of these interventions. </w:t>
      </w:r>
    </w:p>
    <w:p w:rsidRPr="00A4268A">
      <w:pPr>
        <w:spacing w:before="240" w:line="276" w:lineRule="auto"/>
        <w:rPr>
          <w:rFonts w:eastAsia="Calibri"/>
        </w:rPr>
      </w:pPr>
      <w:r w:rsidRPr="00A4268A">
        <w:rPr>
          <w:rFonts w:eastAsia="Calibri"/>
        </w:rPr>
        <w:t>Staff training on the safe and minimal use of restraint and enablers is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Staff demonstrated good principles and practice around infection control. Surveillance is guided by the surveillance policy and procedures. Aged care specific infection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3"/>
        <w:gridCol w:w="1280"/>
        <w:gridCol w:w="102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maintaining a complaints register and effectively managing the complaints process, which was confirmed by interview with the care home manager and the records of the five complaints logged in 2019. The documents showed that each matter was acknowledged in writing and investigated immediately and managed effectively for resolution with the parties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said they understood the process for raising concerns and complaints and felt safe to do so. There was evidence of ongoing communication with the complainants and that where necessary, external advocacy had been offered.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open complaints with the Office of the Health and Disability Commission or the DHB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clearly and accurately describes the principles of open disclosure and how to implement this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Family/whānau confirmed they are kept informed of the resident`s status and are notified of adverse events. Contact with the family is documented if the resident has been involved in an incident/accident or there has been any change in the resident’s condition. Details from doctors’ visits are documented and communicated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contact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Ltd (HLL) strategic plan outlines the purpose, values, scope, and direction of the services provided. A facility specific document which responds to the organisation’s strategic plan describes short and term objectives and links to associated operational plans. Documents reviewed and interview with the care home manager confirmed that service delivery performance and other operational matters are reported to head office monthly.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(RN) with relevant qualifications. This person has been in the role for just over a year and has long term experience employed as an RN in aged care facilities. Responsibilities and accountabilities are defined in the individual employment agreement and job description. The care home manager confirmed knowledge of the sector, regulatory and reporting requirements and maintains currency through regular meetings with the DHB and other managers. The clinical services manager (CSM) is also an RN and has been employed at the facility for a long term. This person oversees all clinical matters, adverse events and quality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Hodgson House has agreements with the DHB for age related care (ARCC) in rest home, hospital medical and geriatric care, respite and palliative care, and the Ministry of Health (MoH) for Young People with Disabilities (YPD).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58 of the 65 beds were occupied. Twenty-five residents were receiving rest home level care and thirty three residents were receiving hospital care. There were four residents being cared for under the palliative care agreement. One hospital resident who was less than 65 years of age was receiving care under the MoH YPD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(HLL), has a planned quality and risk system that reflects the principles of continuous quality improvement. This includes the management of complaints, the carrying out of internal audits across all areas of service delivery and monitoring of outcomes, surveying residents and relative satisfaction and the reporting and collation of adverse events such as accidents/incidents, pressure injuries, restraint interventions and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HHL uses the same system for each of its facilities to report their quality data, for example, the number of falls with or without injury, medicine errors, pressure injuries, restraint, urinary tract infections, bruising and skin tears, and staff incidents. This data is collated by the CSM who conducts a monthly analysis looking for trends and ensuring that actions are underway to remedy any unwanted trends. This is then submitted to HLL’s national office who produce a monthly quality indicator report which shows how the facility compares with its other aged care facilities and whether they are over or under the benchmarked target in each category. Where gaps or deficits in service delivery are identified corrective actions are developed and implemented to address any shortfalls. This was confirmed by review of documents, meeting minutes and interviews with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from quality monitoring is shared with staff at their regular monthly meetings and pictorial and written information was observed to be on display in staff areas. The staff interviewed confirmed that they are kept well informed and may also be involved in quality and risk management processes through internal audit activities, quality projects and acting as representatives for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Results from the most recent 2019 survey revealed no major issues or areas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controlled and managed nationally to ensure a systematic and regular review process, referencing of relevant sources, approval, distribution and removal of obsolete documents. Policies are based on best practice and cover all aspects of the service and contractual requirements, including reference to the interRAI Long Term Care Facility (LTCF)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described the processes for the identification, monitoring, review and reporting of risks and development of mitigation strategies. The manager is familiar with the Health and Safety at Work Act (2015) and has implemented requirements. There had been no staff injuries requiring notification to Worksafe NZ.</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from 2019 revealed clear descriptions of the event and evidence of notifications to people impacted by the incidents. For example, family, the manager on call and/or the GP. All incidents were being reviewed and investigated by the CSM, to determine cause and effect and what if any type of actions were required to prevent recurrence. There was evidence that actions are monitored for implementation. Consequential actions are recorded in the resident’s electronic progress notes. Adverse event data is collated, analysed and reported to staff as described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understood and adheres to the requirements for essential notification reporting, including for pressure injuries. The records showed eleven notifications of significant events as required by section 31 of the Health and Disability Services (safety) Act made to the Ministry of Health in 2019. These include three events of resident absconding, a power outage, physical confrontation between residents, four reports related to RN shortages, a stage three pressure injury which the resident was admitted with and call bell failures.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police investigations, coroner’s inquests, or issues-based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practices are based on good employment practice and relevant legislation. The recruitment process includes referee checks, police vetting and validation of qualifications and practising certificates (APCs), where required. The sample of seven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Records reviewed demonstrated that 11 of the 42 caregivers have completed level 4 or higher of the National Certificate in Health and Wellbeing (or its equivalent). One carer has achieved level three, and one is at level one. </w:t>
            </w:r>
          </w:p>
          <w:p w:rsidR="00EB7645" w:rsidRPr="00BE00C7" w:rsidP="00BE00C7">
            <w:pPr>
              <w:pStyle w:val="OutcomeDescription"/>
              <w:spacing w:before="120" w:after="120"/>
              <w:rPr>
                <w:rFonts w:cs="Arial"/>
                <w:b w:val="0"/>
                <w:lang w:eastAsia="en-NZ"/>
              </w:rPr>
            </w:pPr>
            <w:r w:rsidRPr="00BE00C7">
              <w:rPr>
                <w:rFonts w:cs="Arial"/>
                <w:b w:val="0"/>
                <w:lang w:eastAsia="en-NZ"/>
              </w:rPr>
              <w:t>Nine of the 10 RNs employed are maintaining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in the care of palliative residents is being provided to all RNs and caregivers assigned to these residents. This was sighted in personnel records sampled and a number of the caregivers interviewed said they had attended palliative care seminars. A palliative clinical nurse specialist who is a frequent visitor also confirmed they provide education and rated the knowledge and skills of staff as very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 and managers reported that staffing levels are adjusted to reflect the acuity of residents. This is closely monitored by the CM and CSM especially when the number of hospital and palliative care residents increases. Observations and review of a four-week roster cycle showed that staff cover was adequate and that unplanned staff absences are covered by casual or agency staff. The service has been needing to back fill RN absences with bureau/agency staff and interviews were occurring on audit day to recruit more RNs. RN shortages have been reported via the section 31 process as described in standard 1.2.4.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said that the number of floor staff allocated each shift was sufficient and that absences were more often than not replaced. This was supported by the residents and family members interviewed. There had also been gaps in the provision of cleaning staff but interviews were also taking place for these roles. </w:t>
            </w:r>
          </w:p>
          <w:p w:rsidR="00EB7645" w:rsidRPr="00BE00C7" w:rsidP="00BE00C7">
            <w:pPr>
              <w:pStyle w:val="OutcomeDescription"/>
              <w:spacing w:before="120" w:after="120"/>
              <w:rPr>
                <w:rFonts w:cs="Arial"/>
                <w:b w:val="0"/>
                <w:lang w:eastAsia="en-NZ"/>
              </w:rPr>
            </w:pPr>
            <w:r w:rsidRPr="00BE00C7">
              <w:rPr>
                <w:rFonts w:cs="Arial"/>
                <w:b w:val="0"/>
                <w:lang w:eastAsia="en-NZ"/>
              </w:rPr>
              <w:t>A majority of staff members have current first aid certificates and at least one RN is on site 24 hours a day/seven days a week (24/7) for emergency situations.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when medication is received from the pharmacy. All medications sighted were within current use by dates. The service has implemented an electronic medication management system. Staff have completed relevant training for the new system and other topics required for medicine management as per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demonstrated knowledge on controlled drugs management and storage requirements and are guided by the medication management policies and procedures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medication review is consistently recorded on the medicine chart by the GP. On the reviewed medication charts, dates were recorded on the commencement and discontinuation of medicines and all requirements for pro re nata (PRN) medicines were met. Monthly reviews/audits are completed from the electronic system utilised and reports were sighted. All allergies/sensitivities are documented for medication and food.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an inhaler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chef and one relief cook and a kitchen team and is in line with recognised nutritional guidelines for older people. The menu follows a four weekly cycle pattern. The service has a contracted dietician who has audited the menu plans within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is responsible for ordering, checking and storage of all food supplies. A bain-marie is used to deliver food to other dining areas. Food temperatures, including for high risk items, are monitored appropriately and recorded as part of the food safety plan. The chef and relief cook interviewed have undertaken a safe food handling qualification. Kitchen hands have also completed all relevant training and certificates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Food allergies are documented and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food control plan which expires 27 September 2020. This is displayed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The GP medical records verified that medical input is sought in a timely manner, that medical orders are followed, and care is implemented as required. Care staff confirmed that care was provided as outlined in the documentation. A range of equipment and resources was available, suited to the levels of care provided and in accordance with the residents’ needs. Interviewed residents and families confirmed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staff; one diversional therapist holding the national certificate in diversional therapy, an assistant and an activities coordinator. The activities staff work collaboratively together to provide an interesting programme. The service regularly contributes to the Heritage Lifecare Limited (HLL) newsletter in regard to activities and special events.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review. Resident participation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Staff commented that the van used for activities cannot seat the number of residents who wish to go on outings in the community. This is currently being discussed at resident/family meetings. The residents/family meetings are valuable to evaluate and to improve the programme as needed. Residents interviewed confirmed they find the programme motivating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 staff. If any change is noted, it is reported to the RNs. The RNs review and document in the progress notes when there is a need or changes in residents’ conditions, and weekly as a minimum. One of the senior registered nurses discussed the Hodgson House Lifecare schedules for the RN primary nurses to complete the interRAI assessments, lifestyle care plans and arrange the GP review dates in a timely manner. The interRAI assessments were up-to-date.</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six-monthly interRAI reassessments, or as residents’ needs change. Where progress is different from expected, the service responds by initiating changes to the plan of care. Short-term care plans were consistently reviewed, and progress evaluated as clinically indicated for acute infections and wounds in the reviewed files. Unresolved problems were added to the long-term care plans after three weeks. Residents and families/whānau interviewed confirmed involvement in evaluation of progress and any resulting changes. Short term care plans were closed off when the short-term problems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January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There have been no structural changes to the building. Improvements to the internal and external environment were observed, for example, replacement of flooring, painting, new furniture and general enhancements for the benefit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control coordinator reviews all reported infection,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The clinical indicator monthly summary was reviewed. Results of the surveillance programme are shared with staff via regular staff meetings and at staff handovers. Graphs are produced that identify trends for the current year, and comparisons against the previous month and year and this is reported to all staff and the infection control committee. Data is benchmarked externally with the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systems and practices meet the requirements of this standard. On the day of audit there were two residents using bed rails as restraints and one resident using bed rails as an enabler. Assessment, consent, approval and monitoring and review occurs in relation to the use of these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on restraint and enabler use is provided regularly.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Hodgson House</w:t>
    </w:r>
    <w:bookmarkEnd w:id="58"/>
    <w:r>
      <w:rPr>
        <w:rFonts w:cs="Arial"/>
        <w:sz w:val="16"/>
        <w:szCs w:val="20"/>
      </w:rPr>
      <w:tab/>
      <w:t xml:space="preserve">Date of Audit: </w:t>
    </w:r>
    <w:bookmarkStart w:id="59" w:name="AuditStartDate1"/>
    <w:r>
      <w:rPr>
        <w:rFonts w:cs="Arial"/>
        <w:sz w:val="16"/>
        <w:szCs w:val="20"/>
      </w:rPr>
      <w:t>30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