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St Johns Wood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Wood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September 2019</w:t>
      </w:r>
      <w:bookmarkEnd w:id="7"/>
      <w:r w:rsidRPr="009418D4">
        <w:rPr>
          <w:rFonts w:cs="Arial"/>
        </w:rPr>
        <w:tab/>
        <w:t xml:space="preserve">End date: </w:t>
      </w:r>
      <w:bookmarkStart w:id="8" w:name="AuditEndDate"/>
      <w:r w:rsidR="00A4268A">
        <w:rPr>
          <w:rFonts w:cs="Arial"/>
        </w:rPr>
        <w:t>25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Johns Wood, a facility within Oceania Healthcare Limited can provide care for up to 70 residents requiring rest home or hospital level of care. There were 53 residents at that facility on the first day of the audit.</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 general practitioner, and a nurse practitioner.</w:t>
      </w:r>
    </w:p>
    <w:p w:rsidRPr="00A4268A">
      <w:pPr>
        <w:spacing w:before="240" w:line="276" w:lineRule="auto"/>
        <w:rPr>
          <w:rFonts w:eastAsia="Calibri"/>
        </w:rPr>
      </w:pPr>
      <w:r w:rsidRPr="00A4268A">
        <w:rPr>
          <w:rFonts w:eastAsia="Calibri"/>
        </w:rPr>
        <w:t>There were no areas requiring improvement at the last certification audit.</w:t>
      </w:r>
    </w:p>
    <w:p w:rsidRPr="00A4268A">
      <w:pPr>
        <w:spacing w:before="240" w:line="276" w:lineRule="auto"/>
        <w:rPr>
          <w:rFonts w:eastAsia="Calibri"/>
        </w:rPr>
      </w:pPr>
      <w:r w:rsidRPr="00A4268A">
        <w:rPr>
          <w:rFonts w:eastAsia="Calibri"/>
        </w:rPr>
        <w:t xml:space="preserve">There were areas identified as requiring improvement at this surveillance audit relating to: corrective action management; service provider availability; availability of activities; medicines management; and food safety.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on admission and available within the facility. </w:t>
      </w:r>
    </w:p>
    <w:p w:rsidRPr="00A4268A">
      <w:pPr>
        <w:spacing w:before="240" w:line="276" w:lineRule="auto"/>
        <w:rPr>
          <w:rFonts w:eastAsia="Calibri"/>
        </w:rPr>
      </w:pPr>
      <w:r w:rsidRPr="00A4268A">
        <w:rPr>
          <w:rFonts w:eastAsia="Calibri"/>
        </w:rPr>
        <w:t>Staff communicate with residents and family members following any incident as recorded in the residents’ files.</w:t>
      </w:r>
    </w:p>
    <w:p w:rsidRPr="00A4268A">
      <w:pPr>
        <w:spacing w:before="240" w:line="276" w:lineRule="auto"/>
        <w:rPr>
          <w:rFonts w:eastAsia="Calibri"/>
        </w:rPr>
      </w:pPr>
      <w:r w:rsidRPr="00A4268A">
        <w:rPr>
          <w:rFonts w:eastAsia="Calibri"/>
        </w:rPr>
        <w:t xml:space="preserve">Residents, family and general practitioner interviews confirmed that the environment is conducive to communication, including identification of any issues, and that staff are respectful of residents’ needs. </w:t>
      </w:r>
    </w:p>
    <w:p w:rsidRPr="00A4268A">
      <w:pPr>
        <w:spacing w:before="240" w:line="276" w:lineRule="auto"/>
        <w:rPr>
          <w:rFonts w:eastAsia="Calibri"/>
        </w:rPr>
      </w:pPr>
      <w:r w:rsidRPr="00A4268A">
        <w:rPr>
          <w:rFonts w:eastAsia="Calibri"/>
        </w:rPr>
        <w:t>There is a documented complaints management system and a complaints register is maintained. The business and care manager is responsible for managing complaints. Complaints are investigated and documented, with corrective actions implemented where required. There has been one complaint forwarded to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St Johns Wood.</w:t>
      </w:r>
    </w:p>
    <w:p w:rsidRPr="00A4268A">
      <w:pPr>
        <w:spacing w:before="240" w:line="276" w:lineRule="auto"/>
        <w:rPr>
          <w:rFonts w:eastAsia="Calibri"/>
        </w:rPr>
      </w:pPr>
      <w:r w:rsidRPr="00A4268A">
        <w:rPr>
          <w:rFonts w:eastAsia="Calibri"/>
        </w:rPr>
        <w:t xml:space="preserve">The facility has implemented the Oceania Healthcare Limited quality and risk management system that supports the provision of clinical care and quality improvement at the facility. Policies are reviewed. Reports to the national support office allow for the monthly monitoring of service delivery. </w:t>
      </w:r>
    </w:p>
    <w:p w:rsidRPr="00A4268A">
      <w:pPr>
        <w:spacing w:before="240" w:line="276" w:lineRule="auto"/>
        <w:rPr>
          <w:rFonts w:eastAsia="Calibri"/>
        </w:rPr>
      </w:pPr>
      <w:r w:rsidRPr="00A4268A">
        <w:rPr>
          <w:rFonts w:eastAsia="Calibri"/>
        </w:rPr>
        <w:t xml:space="preserve">Quality and risk performance is monitored through the organisation’s reporting systems. Benchmarking reports include but are not limited to: falls; infections; health and safety and complaints. An internal audit programme is implemented. Corrective action plans are documented from quality activity results, with evidence of the resolution of issues when these are identified. There is an electronic database to record risk in which risks and controls are clearly documented. </w:t>
      </w:r>
    </w:p>
    <w:p w:rsidRPr="00A4268A">
      <w:pPr>
        <w:spacing w:before="240" w:line="276" w:lineRule="auto"/>
        <w:rPr>
          <w:rFonts w:eastAsia="Calibri"/>
        </w:rPr>
      </w:pPr>
      <w:r w:rsidRPr="00A4268A">
        <w:rPr>
          <w:rFonts w:eastAsia="Calibri"/>
        </w:rPr>
        <w:t>The facility is managed by an appropriately qualified and experienced business and care manager, supported by a clinical manager who is responsible for the oversight of clinical service provision. Both the business and care manager and the clinical manager are registered nurses.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Oceania Healthcare Limited human resource policies and procedures are implemented. Newly recruited staff undertake orientation appropriate to their role. Practising certificates for staff and contractors who require them are validated annually. An annual training plan is implemented to ensure ongoing training and education for all staff members.</w:t>
      </w:r>
    </w:p>
    <w:p w:rsidRPr="00A4268A">
      <w:pPr>
        <w:spacing w:before="240" w:line="276" w:lineRule="auto"/>
        <w:rPr>
          <w:rFonts w:eastAsia="Calibri"/>
        </w:rPr>
      </w:pPr>
      <w:r w:rsidRPr="00A4268A">
        <w:rPr>
          <w:rFonts w:eastAsia="Calibri"/>
        </w:rPr>
        <w:t>A review of rosters and service delivery staff, and resident/family interviews confirmed that there is sufficient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residents’ assessments, care planning and evaluations of care are developed with resident and/or family input, within the required timeframes and coordinated to promote continuity of service delivery. The residents and family confirm their input into assessments, care planning and evaluations of care and satisfaction with services provided at the facility. </w:t>
      </w:r>
    </w:p>
    <w:p w:rsidRPr="00A4268A" w:rsidP="00621629">
      <w:pPr>
        <w:spacing w:before="240" w:line="276" w:lineRule="auto"/>
        <w:rPr>
          <w:rFonts w:eastAsia="Calibri"/>
        </w:rPr>
      </w:pPr>
      <w:r w:rsidRPr="00A4268A">
        <w:rPr>
          <w:rFonts w:eastAsia="Calibri"/>
        </w:rPr>
        <w:t>A sampling of residents' clinical files evidenced initial assessments, initial care plans and long-term care plans are completed within the required timeframes and include the residents’ individualised needs and required interventions. Where progress is different from expected, the service responds by initiating changes to the care plan or recording the changes on a short-term care plan.</w:t>
      </w:r>
    </w:p>
    <w:p w:rsidRPr="00A4268A" w:rsidP="00621629">
      <w:pPr>
        <w:spacing w:before="240" w:line="276" w:lineRule="auto"/>
        <w:rPr>
          <w:rFonts w:eastAsia="Calibri"/>
        </w:rPr>
      </w:pPr>
      <w:r w:rsidRPr="00A4268A">
        <w:rPr>
          <w:rFonts w:eastAsia="Calibri"/>
        </w:rPr>
        <w:t>The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 xml:space="preserve">Staff responsible for medicine management attend medication management in-service education and have current medication competencies. The resident self-administering medicines does so according to policy.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There is a central kitchen and on-site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had been no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Systems are in place to ensure assessment of residents is undertaken prior to restraint or enabler use. The staff interviews confirmed that enabler use is voluntary. There were no residents using enablers and one restraint was being used for one resident during the on-site audit.</w:t>
      </w:r>
    </w:p>
    <w:p w:rsidRPr="00A4268A">
      <w:pPr>
        <w:spacing w:before="240" w:line="276" w:lineRule="auto"/>
        <w:rPr>
          <w:rFonts w:eastAsia="Calibri"/>
        </w:rPr>
      </w:pPr>
      <w:r w:rsidRPr="00A4268A">
        <w:rPr>
          <w:rFonts w:eastAsia="Calibri"/>
        </w:rPr>
        <w:t>The assessment, consent, care planning and review of enabler use, when applicable is conducted and recorded.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data confirms that the surveillance programme is appropriate for the size and complexity of the services provided.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2"/>
        <w:gridCol w:w="1280"/>
        <w:gridCol w:w="10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An up-to-date complaints register is in place that includes: the date the complaint is received; the category and a summary of the complaint; how the complainant was contacted (verbal or letter); date of meeting; and the date the complaint was closed/resolved. Evidence relating to each lodged complaint is held in the complaints folder with the register. The complaints reviewed indicated that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interviews confirmed that they were aware of opportunities and processes to raise any concerns and provide feedback on services. Staff and resident interviews and residents’ meeting minutes confirmed that residents can raise and discuss concerns and provide feedback on services at resident meetings. Residents and family interviews confirmed that they were aware they could make a complaint. They stated that they were satisfied with how any issues raised had been dealt with.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an understanding of their rights to advocacy and how to access advocacy services particularly in relation to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had been one complaint copied to the Health and Disability Commissioner (HDC), the HDC had referred this directly to the facility. Following a response from the facility, the HDC had closed the complaint requiring no further action. The complaint was notified to the Ministry of Health on the second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and ensures there is open disclosure of any adverse event where a resident has suffered unintended harm while receiving care. Completed incident forms and residents’ records reviewed demonstrated that family are informed if the resident has an incident/accident; a change in health or a change in needs. Family and resident interviews confirmed that family are informed of any changes in resident status and that they are invited to the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 meetings are chaired independently by an Age Concern representative. The meetings inform residents of facility events and activities and provide attendees with an opportunity to: make suggestions; provide feedback; and to raise and discuss issues or concerns. Upcoming resident meetings are included in the activities planner and advertised in the facility newsletter and held on the same day of each month. Family are welcome to attend the meetings. Minutes from the residents’ meetings showed evidence that a range of subjects and issues are discussed, including: the meal service; facility; and health and safety (refer to 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stated that they felt comfortable approaching the business and care manager (BCM) and staff and that issues/concerns raised are responded to promptly. </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interpreting services. It states that staff have access to a list of interpreting services and family may only interpret with a resident’s consent. Interviews confirmed that in the event that interpreter services are required these would be accessed through a local marae or the district health board (DHB). At the time of the audit there were no residents for whom English was not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(Oceania) has a documented mission, vision and values statements which reflect a person-centred approach to all residents. These are described in the information pack provided to residents and their families on admission. Staff also receive this information at orientation and in annual training. Oceania has an overarching business plan applicable to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Johns Wood is part of the Oceania group with the executive management team providing support to their facility. Communication between the facility and executive management occurs at least monthly. The facility provides ongoing electronic reporting of events and occupancy that provide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has been in this role for just under two years. The BCM has 21 years’ experience in age related residential care (ARRC), including previous facility and village management experience. The BCM is a registered nurse (RN) with a current practising certificate and has completed Oceania management training. The BCM is supported by a clinical manager (CM). The CM has been in this current role for four months and has over twelve years’ experience in ARRC, including previous experience as a CM at this and another Oceania aged care facility. The CM holds a current annual practising certificate and is supported by the Oceania clinical quality manager (CQM). The management team have completed appropriate induction and orientation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and hospital care services for up to 70 residents, with 53 beds occupied at the time of the audit. Occupancy included: 35 residents requiring rest home level care and 18 requiring hospital level care. Total occupancy numbers included: three residents assessed as requiring hospital level care, one who was under the long-term chronic health conditions contract and under 65 years of age; one under the short-term respite contract receiving palliative care; and one resident funded under a contact with Accident Compensation Corporation (ACC). </w:t>
            </w:r>
          </w:p>
          <w:p w:rsidR="00EB7645" w:rsidRPr="00BE00C7" w:rsidP="00BE00C7">
            <w:pPr>
              <w:pStyle w:val="OutcomeDescription"/>
              <w:spacing w:before="120" w:after="120"/>
              <w:rPr>
                <w:rFonts w:cs="Arial"/>
                <w:b w:val="0"/>
                <w:lang w:eastAsia="en-NZ"/>
              </w:rPr>
            </w:pPr>
            <w:r w:rsidRPr="00BE00C7">
              <w:rPr>
                <w:rFonts w:cs="Arial"/>
                <w:b w:val="0"/>
                <w:lang w:eastAsia="en-NZ"/>
              </w:rPr>
              <w:t>The facility holds contracts with the DHB for ARRC, long-term chronic health conditions, short-term residential respite services, and young persons with disabilities (YPD) as well as a contract with ACC. The facility has 20 residents with occupational right agreements. At the time of the audit there were no residents who had been admitted under the YPD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documented quality and risk management framework is accessed by staff to guide service delivery.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policy updates are also provided as part of relevant in-service education. New and revised policies are also made available on a notice board located in the staff room and staff sign to confirm that they have read and understood each new policy and/or update. Staff interviews confirmed that they are made aware of new and updated policies and also receive alerts through the electronic duty log on system.</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utilising a number of clinical indicators such as: falls; infections; medication errors; restraint; sentinel events; weight loss; wounds; and food safety; and implementation of the internal audit programme. Clinical indicators are collated monthly. There is evidence that the annual internal audit programme is implemented as scheduled. Reports show evidence that quality improvement data is being collected and collated with the identification of trends and analysis of data. Where required, corrective action plans from quality activities are developed, implemented, evaluated and closed out. There is communication with all staff of any subsequent changes to procedures and practice through meetings and the electronic duty log on system.</w:t>
            </w:r>
          </w:p>
          <w:p w:rsidR="00EB7645" w:rsidRPr="00BE00C7" w:rsidP="00BE00C7">
            <w:pPr>
              <w:pStyle w:val="OutcomeDescription"/>
              <w:spacing w:before="120" w:after="120"/>
              <w:rPr>
                <w:rFonts w:cs="Arial"/>
                <w:b w:val="0"/>
                <w:lang w:eastAsia="en-NZ"/>
              </w:rPr>
            </w:pPr>
            <w:r w:rsidRPr="00BE00C7">
              <w:rPr>
                <w:rFonts w:cs="Arial"/>
                <w:b w:val="0"/>
                <w:lang w:eastAsia="en-NZ"/>
              </w:rPr>
              <w:t>All aspects of quality improvement, risk management and clinical indicators are discussed at monthly meetings. However, action points arising from minutes required evidence to support implementation. Staff interviews, and meeting attendance records confirmed that attendance at staff meetings was facilitated. Copies of meeting minutes are available for review in the staff room and staff sign to confirm that they have read and understood these. Staff interviews confirmed that they are kept informed of quality improvements. Residents and family are notified of facility changes and events through the facility’s monthly residents’ meetings. Residents’ meeting minutes, staff and resident interviews confirmed that residents, including those under 65 years of age, can have input into quality improvements and facility changes. Interviews confirmed that residents are satisfied that the service meets their individual needs and that they have input into services.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family are completed as part of the annual internal audit programme. Surveys reviewed evidenced satisfaction with the services provided. This was confirmed by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Staff interviews confirmed an awareness of health and safety processes and their responsibilities to report hazards, accidents and incidents promptly. Accidents, incidents and corrective actions are discussed at staff meetings. The CM is the health and safety representative. Interview confirmed understanding of the obligations of the role. There is evidence of hazard identification forms completed when a hazard is identified and that hazards are addressed, and risks minimised. A current hazard register is available that is updated at least annually or when a new hazard is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aware of situations which require the facility to report and notify statutory authorities, including: unexpected deaths; police involvement; sentinel events; infectious disease outbreaks and changes in key management roles. These are reported to the appropriate authority via Oceania support office staff. The appointment of the CM since the last audit had been reported to the Ministry of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an understanding of the processes. A review of documentation confirmed that staff document adverse, unplanned or untoward events on accident/incident forms which are signed off by the BCM or CM.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reviewed confirmed that staff receive education at orientation and as part of the ongoing training programme on accident/incident reporting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awareness of the need to identify and report errors or mistakes. Staff interviewed understood the adverse event reporting process and their obligation to document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reporting forms are readily available in the staff room. Accident/incident reports selected for review evidenced that where appropriate the resident’s family had been notified, an assessment had been conducted and observations completed. Corrective actions arising from accidents/incidents were implemented. There is evidence of a corresponding note in the resident progress notes and notification of the resident’s family member where appropriate. Family and resident interviews confirmed that family are notified where the resident has had an accident/incident or a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occurring with other Oceania facilities. Specific learnings and results from accidents/incidents inform quality improvement processes and are regularly shared at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police vetting; identification verification; a position specific job description;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Health care assistants (HCA) are buddied with an experienced staff member until they demonstrate competency on specific tasks, for example: hand hygiene; medication and moving and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that includes topics relevant to all services and levels of care provided. There are systems and processes in place to ensure that all staff complete their required mandatory training modules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CM and five other RNs have completed interRAI assessments training and competencies. Care staff complete annual competencies, for example: moving and handling; hoist use; hand washing; and medication management. Education session attendance records evidenced that ongoing education is provided relevant to the services delivered. Interviews and training records reviewed confirmed that all staff, including RNs undertake at least eight hours of relevant education and training hours per annum. An annual appraisal schedule is in place. All staff files reviewed evidenced that staff employed for greater than one year had completed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care staff appointed to safely meet the needs of all residents including those residents with occupancy rights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staff consist of: a management team; RNs; enrolled nurse (EN); HCAs; activities assistant; maintenance personnel and household staff. Household staff include: kitchen; laundry and cleaning staff who provide services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formula provide guidance to ensure safe staffing levels within the facility are sufficient to meet the needs of residents’ acuity and the minimum requirements of the DHB contract. Rosters are available to staff at least two weeks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RNs and HCAs available to safely maintain the rosters for the provision of care. Rosters sighted reflected adequate staffing levels to meet current resident acuity and bed occupancy. In addition to the BCM and CM who are on duty Monday to Friday there are two senior RNs, plus one or two other RNs, on morning duty seven days per week, and one RN on each afternoon and night shift. On each: morning shift there are four HCAs working full shifts and four working short shifts; on each afternoon shift three HCAs working full shifts and five working short shifts, plus three HCAs on each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24 suites that have occupational right agreements (ORA) of which 20 were occupied. There is one resident with an ORA who is living independently. There are also independent living apartments on the upper floor. These are managed by a village coordinator and an EN who assists residents in their cares of daily living where required. Interview with the BCM confirmed, except for occasional telephone advice, rest home and hospital staff do not provide services to the residents in upstairs independent living 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Until two weeks prior to the audit there were two nurses’ stations, one of which was close to the care suites for staff providing care at this end of the facility. These have been replaced by a newly assigned nurses’ station in a centrally situated position, but some distance from the care suites. There is one resident at the far end of the care suites who is assessed as requiring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The CM and senior RNs share the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family interviews stated that staffing is adequate to meet the residents’ needs. Staff confirmed that whilst they are busy at times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 including controlled drug storage evidences an appropriate and secure medicine dispensing system, free from heat, moisture and light, with medicines stored in original dispensed packs. The medication register is maintained and evidenced weekly checks and six-monthly physical stock takes. The medication fridge temperatures are completed daily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current competencies. The medication round was observed and evidenced the staff member was knowledgeable about the medicine administered and followed procedures and protocols.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medicine charts evidence residents' photo identification, legibility, allergies are recorded and three-monthly medicine reviews are conducted. The residents' medicine charts record all medications a resident is taking (including name, dose, frequency and route to be given).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medicine at the facility and this was conducted according to policy. The policy includes facilitation for YPD residents to self-medicate, and at the time of audit no YPD residents met the criteria.</w:t>
            </w:r>
          </w:p>
          <w:p w:rsidR="00EB7645" w:rsidRPr="00BE00C7" w:rsidP="00BE00C7">
            <w:pPr>
              <w:pStyle w:val="OutcomeDescription"/>
              <w:spacing w:before="120" w:after="120"/>
              <w:rPr>
                <w:rFonts w:cs="Arial"/>
                <w:b w:val="0"/>
                <w:lang w:eastAsia="en-NZ"/>
              </w:rPr>
            </w:pPr>
            <w:r w:rsidRPr="00BE00C7">
              <w:rPr>
                <w:rFonts w:cs="Arial"/>
                <w:b w:val="0"/>
                <w:lang w:eastAsia="en-NZ"/>
              </w:rPr>
              <w:t>Not all pro re nata (PRN) prescribing practice met the requirements of the standard. Not all special authority medication approvals were current for residents who required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kitchen staff confirmed they were aware of the residents’ individual dietary needs. The residents' dietary requirements are identified on admission, documented and communicated to kitchen staff. The residents’ dietary needs reviews are conducted six monthly or when residents’ condition alters. There are current copies of the residents' dietary profiles in the kitchen. The kitchen staff are informed if resident's dietary requirements change, confirmed at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weights. In interviews, residents stated they were satisfied with the food service, reported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food temperatures are recorded, as are the fridge, chiller and freezer temperatures. All decanted food is dated. Kitchen staff have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dietitian’s documented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The service does not currently have an approved food plan as not all surfaces in the kitchen promote food safety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evidenced interventions based on assessed needs and desired outcomes/goals of the residents. The GP documentation and records are current. 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residents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programme for the rest home and hospital residents and includes activities for the resident under 65 years of age. There are various areas where recreational activities are provided. Regular exercises and outings are provided for those residents able to participate. The activities programme includes input from external agencies, planned activities such as festive occasions and celebrations, and supports ordinary unplanned/spontaneous activities. There are current individualised activities assessments and care plans recorded in the residents’ files reviewed. The residents’ activities attendance records are maintained. Feedback is obtained from residents and family members by way of satisfaction surveys.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activities coordinator confirmed their role in the facility’s activities programme. The activities coordinator implements the activities programme five days a week. The service does not currently provide activities for all residents over weekends.</w:t>
            </w:r>
          </w:p>
          <w:p w:rsidR="00EB7645" w:rsidRPr="00BE00C7" w:rsidP="00BE00C7">
            <w:pPr>
              <w:pStyle w:val="OutcomeDescription"/>
              <w:spacing w:before="120" w:after="120"/>
              <w:rPr>
                <w:rFonts w:cs="Arial"/>
                <w:b w:val="0"/>
                <w:lang w:eastAsia="en-NZ"/>
              </w:rPr>
            </w:pPr>
            <w:r w:rsidRPr="00BE00C7">
              <w:rPr>
                <w:rFonts w:cs="Arial"/>
                <w:b w:val="0"/>
                <w:lang w:eastAsia="en-NZ"/>
              </w:rPr>
              <w:t>During the on-site audit there was one YPD resident in the facility; the activities co-ordinator presented an individualised care plan that was consistent with the residents’ needs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residents’ meetings held at monthly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for care planning evaluations are documented and implemented. The residents' care plans are up-to-date and reviewed six-monthly. There is evidence of resident, family, HCAs, allied health staff and GP/NP input into the care plan evaluations. In interviews, residents and families confirmed their participation in care plan evaluations. Wound care plans reviewed evidenced wound management plans were current and evaluated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Short-term care plans were in residents’ files reviewed where required. The family are notified of any changes in residents’ condition this was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The ‘men’s shed’ has been repurposed as a nurses’ station and office. However there have been no structural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responsible for the surveillance programme. Monthly surveillance analysis is completed and reported at monthly 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are diagnosed with an infection have short-term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infection control nurse,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infection control nurse confirmed no outbreak has occurred at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enablers in the facility policy documentation are congruent with the definition in the standard. The process of assessment, care planning, monitoring and evaluation of restraint and enabler use is recorded. There were no residents at the facility using enablers and one residents using restraint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was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(RMSP), enabler usage and prevention and/or de-escalation education and training is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2"/>
        <w:gridCol w:w="1280"/>
        <w:gridCol w:w="6083"/>
        <w:gridCol w:w="1968"/>
        <w:gridCol w:w="16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quality, health and safety, infection control, RN and staff meetings evidenced all aspects of quality improvement, risk management and clinical indicators are discussed. However, action points arising from minutes require evidence to support implementation.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identified at meetings did not consistently evidence that: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These had been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ii) A time frame and accountabilities had been identified.</w:t>
            </w:r>
          </w:p>
          <w:p w:rsidR="00EB7645" w:rsidRPr="00BE00C7" w:rsidP="00BE00C7">
            <w:pPr>
              <w:pStyle w:val="OutcomeDescription"/>
              <w:spacing w:before="120" w:after="120"/>
              <w:rPr>
                <w:rFonts w:cs="Arial"/>
                <w:b w:val="0"/>
                <w:lang w:eastAsia="en-NZ"/>
              </w:rPr>
            </w:pPr>
            <w:r w:rsidRPr="00BE00C7">
              <w:rPr>
                <w:rFonts w:cs="Arial"/>
                <w:b w:val="0"/>
                <w:lang w:eastAsia="en-NZ"/>
              </w:rPr>
              <w:t>ii) Action points had been carried forward to subsequent meetings.</w:t>
            </w:r>
          </w:p>
          <w:p w:rsidR="00EB7645" w:rsidRPr="00BE00C7" w:rsidP="00BE00C7">
            <w:pPr>
              <w:pStyle w:val="OutcomeDescription"/>
              <w:spacing w:before="120" w:after="120"/>
              <w:rPr>
                <w:rFonts w:cs="Arial"/>
                <w:b w:val="0"/>
                <w:lang w:eastAsia="en-NZ"/>
              </w:rPr>
            </w:pPr>
            <w:r w:rsidRPr="00BE00C7">
              <w:rPr>
                <w:rFonts w:cs="Arial"/>
                <w:b w:val="0"/>
                <w:lang w:eastAsia="en-NZ"/>
              </w:rPr>
              <w:t>iii) Action points had been closed out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to ensure that action points arising from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i) Are clearly identified.</w:t>
            </w:r>
          </w:p>
          <w:p w:rsidR="00EB7645" w:rsidRPr="00BE00C7" w:rsidP="00BE00C7">
            <w:pPr>
              <w:pStyle w:val="OutcomeDescription"/>
              <w:spacing w:before="120" w:after="120"/>
              <w:rPr>
                <w:rFonts w:cs="Arial"/>
                <w:b w:val="0"/>
                <w:lang w:eastAsia="en-NZ"/>
              </w:rPr>
            </w:pPr>
            <w:r w:rsidRPr="00BE00C7">
              <w:rPr>
                <w:rFonts w:cs="Arial"/>
                <w:b w:val="0"/>
                <w:lang w:eastAsia="en-NZ"/>
              </w:rPr>
              <w:t>ii) Include a timeframe and person responsible for actioning these.</w:t>
            </w:r>
          </w:p>
          <w:p w:rsidR="00EB7645" w:rsidRPr="00BE00C7" w:rsidP="00BE00C7">
            <w:pPr>
              <w:pStyle w:val="OutcomeDescription"/>
              <w:spacing w:before="120" w:after="120"/>
              <w:rPr>
                <w:rFonts w:cs="Arial"/>
                <w:b w:val="0"/>
                <w:lang w:eastAsia="en-NZ"/>
              </w:rPr>
            </w:pPr>
            <w:r w:rsidRPr="00BE00C7">
              <w:rPr>
                <w:rFonts w:cs="Arial"/>
                <w:b w:val="0"/>
                <w:lang w:eastAsia="en-NZ"/>
              </w:rPr>
              <w:t>iii) Demonstrate that these have been carried forward and discussed at subsequent meetings.</w:t>
            </w:r>
          </w:p>
          <w:p w:rsidR="00EB7645" w:rsidRPr="00BE00C7" w:rsidP="00BE00C7">
            <w:pPr>
              <w:pStyle w:val="OutcomeDescription"/>
              <w:spacing w:before="120" w:after="120"/>
              <w:rPr>
                <w:rFonts w:cs="Arial"/>
                <w:b w:val="0"/>
                <w:lang w:eastAsia="en-NZ"/>
              </w:rPr>
            </w:pPr>
            <w:r w:rsidRPr="00BE00C7">
              <w:rPr>
                <w:rFonts w:cs="Arial"/>
                <w:b w:val="0"/>
                <w:lang w:eastAsia="en-NZ"/>
              </w:rPr>
              <w:t>iii) Demonstrate that these have been closed out.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newly commissioned nurses’ station with sufficient room to accommodate all staff and residents’ files. This room had replaced two nurses’ stations that were situated at opposite ends of the facility. The second nurses’ station close to the care suites was reinstated on the first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sole nurses’ station was not sufficiently close enough for observation of all residents specifically those assessed as requiring hospital level care, in the care suite wing.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nurses’ stations for the care suites is consistently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medimap electronic charting system the three monthly mandatory review dates were current, and the resident photographs were current, however there were 8 of 12 PRN medication charts that did not indicate maximum medication doses. There were nine special authority medication approval documents where authority dates had lapsed for residents requiring these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PRN medications did not routinely show maximum dose rate and nine special authority medication approval documents were out of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PRN medications have maximum dose rates over a twenty-four-hour period and special authority medication documentation is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procurement, storage, transportation, delivery and disposal comply with current legislation and guidelines, however requirements around production and preparation are not all aligned with current requirements for safe and appropriate food service delivery. Part of the corrective actions raised at the food service audit was implemented however, one kitchen food preparation surface does not meet food safety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food preparation surfaces promote food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work surfaces meet food safety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were observed during the on-site audit of the facility. Interviews with residents and family confirmed having the opportunity to participate in activities and having choices around their participation. The activities programme includes a variety of activities. Attendance records are maintained. Over weekends residents receive visitors and on Sundays, church goers can attend church services, however, residents who do not have family or friends visiting and those who do not attend church services do not have recreational activities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have access to activities over weekends.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to provide activities for all residents over weekends.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St Johns Wood</w:t>
    </w:r>
    <w:bookmarkEnd w:id="58"/>
    <w:r>
      <w:rPr>
        <w:rFonts w:cs="Arial"/>
        <w:sz w:val="16"/>
        <w:szCs w:val="20"/>
      </w:rPr>
      <w:tab/>
      <w:t xml:space="preserve">Date of Audit: </w:t>
    </w:r>
    <w:bookmarkStart w:id="59" w:name="AuditStartDate1"/>
    <w:r>
      <w:rPr>
        <w:rFonts w:cs="Arial"/>
        <w:sz w:val="16"/>
        <w:szCs w:val="20"/>
      </w:rPr>
      <w:t>24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