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Hayman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Hayman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Psychogeriatric services; 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August 2019</w:t>
      </w:r>
      <w:bookmarkEnd w:id="7"/>
      <w:r w:rsidRPr="009418D4">
        <w:rPr>
          <w:rFonts w:cs="Arial"/>
        </w:rPr>
        <w:tab/>
        <w:t xml:space="preserve">End date: </w:t>
      </w:r>
      <w:bookmarkStart w:id="8" w:name="AuditEndDate"/>
      <w:r w:rsidR="00A4268A">
        <w:rPr>
          <w:rFonts w:cs="Arial"/>
        </w:rPr>
        <w:t>16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Hayman Rest Home and Hospital provides rest home, hospital, dementia, residential disability services – intellectual and physical, and psychogeriatric levels of care for up to 110 residents.  During the audit, there were 104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Bupa quality and risk management programme is well embedded at Hayman.  Quality initiatives are implemented which provide evidence of improved services for residents.  There have been a number of indoor and outdoor environmental improvements and refurbishments.</w:t>
      </w:r>
    </w:p>
    <w:p w:rsidRPr="00A4268A">
      <w:pPr>
        <w:spacing w:before="240" w:line="276" w:lineRule="auto"/>
        <w:rPr>
          <w:rFonts w:eastAsia="Calibri"/>
        </w:rPr>
      </w:pPr>
      <w:r w:rsidRPr="00A4268A">
        <w:rPr>
          <w:rFonts w:eastAsia="Calibri"/>
        </w:rPr>
        <w:t>The care home manager is appropriately qualified and experienced and is supported by a clinical manager and two-unit coordinators.</w:t>
      </w:r>
    </w:p>
    <w:p w:rsidRPr="00A4268A">
      <w:pPr>
        <w:spacing w:before="240" w:line="276" w:lineRule="auto"/>
        <w:rPr>
          <w:rFonts w:eastAsia="Calibri"/>
        </w:rPr>
      </w:pPr>
      <w:r w:rsidRPr="00A4268A">
        <w:rPr>
          <w:rFonts w:eastAsia="Calibri"/>
        </w:rPr>
        <w:t>This certification audit did not identify any areas for improvement.</w:t>
      </w:r>
    </w:p>
    <w:p w:rsidRPr="00A4268A">
      <w:pPr>
        <w:spacing w:before="240" w:line="276" w:lineRule="auto"/>
        <w:rPr>
          <w:rFonts w:eastAsia="Calibri"/>
        </w:rPr>
      </w:pPr>
      <w:r w:rsidRPr="00A4268A">
        <w:rPr>
          <w:rFonts w:eastAsia="Calibri"/>
        </w:rPr>
        <w:t>The service is commended for achieving three continuous improvement ratings awarded around good practice, activity programme for younger people and infection control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Bupa Hayman Rest Home and Hospital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7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 that provides information on all levels of care, including individual information for the dementia and psychogeriatric units.  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resident, and goal orientated.  Care plans are reviewed every six months or earlier if required.  Files reviewed identified integration of allied health and team input into resident care.  The general practitioner reviews residents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 groups.  The programme encourages the maintenance of community links.  There are regular entertainers, outings, and celebrations.  Activities are focused on meaningful and sensory activities in the dementia care and psychogeriatric units.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healthcare assistants who administer medications have an annual competency assessment and receive annual education.  Medication charts are reviewed three monthly by the general practitioner.  The community mental health nurse visits fortnightly. </w:t>
      </w:r>
    </w:p>
    <w:p w:rsidRPr="00A4268A" w:rsidP="00621629">
      <w:pPr>
        <w:spacing w:before="240" w:line="276" w:lineRule="auto"/>
        <w:rPr>
          <w:rFonts w:eastAsia="Calibri"/>
        </w:rPr>
      </w:pPr>
      <w:r w:rsidRPr="00A4268A">
        <w:rPr>
          <w:rFonts w:eastAsia="Calibri"/>
        </w:rPr>
        <w:t xml:space="preserve">All meals are prepared and cooked on site.  There is a current food control plan in place.  Resident dietary needs are met, and alternative foods offered for dislikes.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Cleaning and maintenance staff are providing appropriate services.</w:t>
      </w:r>
    </w:p>
    <w:p w:rsidRPr="00A4268A">
      <w:pPr>
        <w:spacing w:before="240" w:line="276" w:lineRule="auto"/>
        <w:rPr>
          <w:rFonts w:eastAsia="Calibri"/>
        </w:rPr>
      </w:pPr>
      <w:r w:rsidRPr="00A4268A">
        <w:rPr>
          <w:rFonts w:eastAsia="Calibri"/>
        </w:rPr>
        <w:t xml:space="preserve">All bedrooms are single occupancy with ensuites and adequate numbers of communal toilets.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 and secure for the units that require this.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There is a first aid trained staff member on duty 24 hours.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During the audit, there were no residents using restraint and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 is appropriate for the size and complexity of the service.  The infection control coordinator (registered nurse) working together with the clinical manager, is responsible for coordinating and providing education and training for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6"/>
        <w:gridCol w:w="1280"/>
        <w:gridCol w:w="103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visible locations.  Policy relating to the Code is implemented.</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about the Code during their induction to the service, which continues through in-service education and training.  Interviews with staff, (two unit coordinators (one dementia and one hospital), two staff registered nurses (RNs) (one psychogeriatric and one hospital); one enrolled nurse (EN) (rest home); 15 caregivers (five dementia, five psychogeriatric and five hospital), one diversional therapist, two activity coordinators, one cook, two laundry, two cleaners, one maintenance) and managers (care home manager, clinical manager) reflected their understanding of the key principles of the Code and its application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resident files were reviewed; two rest home level of care including one younger person with physical disability, three hospital level of care including one resident who is under 65 years of age and funded through the long-term chronic health condition contract (LTS-CHC), four dementia level of care including one LTS-CHC resident and two psychogeriatric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(as appropriate) and families on admission.  Written consents are signed by the resident or their enduring power of attorney (EPOA).  Advanced directives are signed for separately by the competent resident.  There was evidence of discussion with family when the GP completed a clinically indicated not for resuscitation order where residents were deemed not to be competent.  The EPOA had been activated in the files reviewed of dementia care and psychogeriatric care residents.  The registered nurses and caregivers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reviewed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 three languages.  Interviews with the residents and relatives confirmed their understanding of the availability of advocacy services.  Staff receive education and training on the role of advocacy services.  Complaint resolution letters sent to families provide a link to the engagement advisor at Bupa’s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responsive to young people with disabilities accessing the community, resources, facilities and mainstream supports such as education, public transport, and primary health care services in the community.  The service promotes access to family and friends.  Resident and relative meetings are held bi-monthly and there are bi-monthly support group meetings for families with residents in the dementia and psychogeriatric units.  Monthly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hard copy and electronic complaints’ registers.  Documentation including follow-up letters and resolution demonstrated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Two complaints lodged with HDC were open at the time of the audit.  One complaint lodged (12 January 2018) has been addressed by the facility and is now being managed by the Bupa head office.  The second complaint with HDC was lodged in February 2019.  Twenty-three corrective actions were documented relating to this complaint with evidence sighted of their implementation (eg, staff training, internal audits, policy updates).  Evidence was also sighted to indicate that the corrective actions were discussed extensively with staff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other complaints received (June, July 2019) were selected and reviewed in their entirety and reflected evidence of responding to complaints in a timely manner with appropriate follow-up actions taken.  All three complaints were signed off by the care home manager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Information relating to the rights of residents is posted on communication boards throughout the facility.  All nine residents interviewed (three rest home [including one person under the residential disability services – physical/intellectual], and six hospital level - including one person under residential disability services – physical/intellectual); and fifteen relatives (four hospital - with relatives admitted under residential disability services, five psychogeriatric and six dementia) reported that the residents’ rights are being upheld by the service with examples provided.  They confirmed their understanding of the Code and its application to this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being treated with dignity and respect.  Privacy is upheld and independence is encouraged.  Residents and relatives interviewed were very positive in relation to the service meeting the residents’ values and beliefs, highlighted by the multicultural mix of residents (and their families) and the four residents under the residential disability contract.  Young people with disabilities are able to maintain their personal, gender, sexual, cultural, religious and spiritual identity.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and care plans identify residents preferred names.  Values and beliefs information is gathered on admission with evidence of family involvement and is integrated into the residents' care plans.  Spiritual needs are documented where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and cultural and ethnic backgrounds of Māori are valued and fostered within the service.  They value and encourage active participation and input of the family/whānau in the day-to-day care of the resident.  Fifteen residents who identified as Māori are living at the facility.  Two Māori residents interviewed (one rest home and one hospital) confirmed that Māori cultural values and beliefs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the local iwi tribe for Wiri/Manukau (Ngati Te Akitai Waiohua) and Māori staff who are employed by the service.  A partnership is also developed with the Manurewa marae and kaumātua.  Activities include residents regularly attending the marae.  One resident’s whānau assists with translation and also runs the Māori cultural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during their induction to the service and as a regular in-service topic.  All caregivers interviewed were aware of the importance of whānau in the delivery of care for their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Cultural days are celebrated at the facility (eg, Tongan wedding celebration, a kava demonstration, Cook Island tivaevae sewing and making floral headwear with fresh flowers, and kiwiana day).  Each event has included staff planning events and taking annual leave to make food and decorate the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trained to provide a supportive relationship based on sense of trust, security and self-esteem.  Interviews with caregivers from the psychogeriatric unit could describe how they build a supportive relationship with their residents.  Interviews with families from the psychogeriatric unit confirmed the staff assist to relieve resident’s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a resident being identified by a caregiver with a lump in her breast, a GP referral was made and referral to the breast clinic.  A diagnosis of breast cancer and subsequent mastectomy undertaken.  The team at Hayman are now supporting her with radiation treatment.   The team at Hayman have now introduced ‘breast examination’ as part of six-monthly reviews.  Because of this another lady was found with a lump in her breast and she was referred to the breast clinic, this was not malignant.  All six-monthly reviews in all files documented that a breast examination had been undertaken.</w:t>
            </w:r>
          </w:p>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A house GP visits the facility two days a week and provides an afterhours service.  The GP interviewed is satisfied with the level of care that is being provided.  The facility won Bupa’s most improved care home of the year award in 2018.</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on-site 20 hours per week.  There is a regular in-service education and training programme for staff.  A podiatrist is on 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Bupa Hayman monitors adverse events using an electronic database (Riskman).  If the results reflect a negative trend, a corrective action plan is developed by the service.  The service demonstrated a number of examples of good practice including not using any restraint.  A dementia support group is in place for families.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Bupa programme referred to as ‘releasing time to care’ which has significantly increased the amount of time carers have to spend with residents.  This has resulted in a rating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Language and communication needs and use of alternative information and communication methods are available and used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Twenty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An introduction to the dementia and psychogeriatric unit booklet provides information for family, friends and visitors to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Hayman Care Home provides hospital, rest home, dementia, psychogeriatric and residential disability - intellectual/physical for up to 110 residents.  There were 104 residents living at this facility during the audit.  This included eight rest home level residents and forty-four hospital level residents in the (dual-purpose) hospital/rest home units.  There were 37 residents across the two dementia units (21 in the men’s unit and 16 in the women’s unit) and 15 residents in the psychogeriatric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were under the residential disability contract (three hospital and one rest home) – all with physical disabilities, and five residents were under the long-term chronic condition contract (one psychogeriatric, two hospital, two dementia).  The remaining rest home and hospital residents were under the aged residential care contract (ARCC), and the remaining psychogeriatric residents were under the aged residential hospital specialist service (ARHSS).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The Bupa philosophy and strategic plan reflect a person/family centred approach.  Annual goals for the facility have been determined and are regularly reviewed by the care home manager with reporting through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trained as a registered nurse but has not kept her practising certificate current.  She holds a master’s degree and has over 20 years of management experience in residential/intellectual disability and mental health services in the UK and in New Zealand.  She is supported by an experienced clinical manager/registered nurse (RN) who has been employed at the facility for over eight years and as the clinical manager (CM) since 2013.  The care home manager and CM are supported by a Bupa regional manager and two-unit coordinators/RNs.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CM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Bupa relieving facility manager cover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  Young people with disabilities have input into quality improvements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injuries, wounds, and medication errors.  Satisfaction with choices, decision making, access to technology, aids, equipment and services contribute to quality data collected by the service.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team that consists of managers and seven nominated staff.  The health and safety team meet two-monthly.  Risk management, hazard control and emergency policies and procedures are being implemented.  Hazard identification forms and a hazard register are in place.  There are procedures to guide staff in managing clinical and non-clinical emergencies.  A health and safety noticeboard provide staff with comprehensive health and safety information, forms and updates.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chair alarms.  Toileting plans and intentional rounding are examples of strategies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Fifteen accident/incident forms were reviewed.  Each event involving a resident reflected a clinical assessment and follow-up by a registered nurse.  Neurological observations have been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aware of their requirement to notify relevant authorities in relation to essential notifications.  Examples provided included notifications for pressure injuries, a police investigation (absconding resident), and two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Ten staff files reviewed (two-unit coordinators/RNs, two kitchen staff, one diversional therapist and five caregivers) provided evidence of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Caregiver staff are awarded a level three national certificate following completion of their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per employee.  All staff participate in continuing education relevant to physical disability and young people with physical disabilities.  There is an attendance register for each training session and an individual staff member record of training.  Staff are required to complete written core competencies each year.  Opportunistic education (toolbox talks) are provided during handovers.  The competency programme has different requirements according to work type (eg, caregivers, RN, and cleaner).  Core competencies are completed annually, and a record of completion is maintained – competency register sighted.</w:t>
            </w:r>
          </w:p>
          <w:p w:rsidR="00EB7645" w:rsidRPr="00BE00C7" w:rsidP="00BE00C7">
            <w:pPr>
              <w:pStyle w:val="OutcomeDescription"/>
              <w:spacing w:before="120" w:after="120"/>
              <w:rPr>
                <w:rFonts w:cs="Arial"/>
                <w:b w:val="0"/>
                <w:lang w:eastAsia="en-NZ"/>
              </w:rPr>
            </w:pPr>
            <w:r w:rsidRPr="00BE00C7">
              <w:rPr>
                <w:rFonts w:cs="Arial"/>
                <w:b w:val="0"/>
                <w:lang w:eastAsia="en-NZ"/>
              </w:rPr>
              <w:t>Twenty-nine caregivers are employed to work in the dementia and psychogeriatric units.  Twenty-four caregivers have achieved a Careerforce qualification in dementia care. The remaining four caregiver staff have been employed in a dementia or psychogeriatric unit for less than 18 months and are working towards their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Sixteen registered nurses are employed (including the clinical manager and two-unit coordinators) and seven have completed their interRAI training.  There are implemented competencies for registered nurses including (but not limited to) medication competencies, wound care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 clinical manager (RN) and two-unit coordinators (RNs) rostered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cover is provided 24 hours a day, seven days a week.  RNs are supported by sufficient numbers of caregivers.  Separate cleaning staff are employed seven days a week and laundry services are outsourced.  </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(15 residents are living in this 15-bed unit); the unit is staffed with one RN on the AM, PM and night shifts.  Two long and two short shift caregivers work on the AM and PM shifts and one long shift caregiver covers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Dementia: (21 men were in the 21-bed unit and 16 women were in the 18-bed unit):  One RN covers the AM and PM shifts and the night shift is staffed with one RN who covers rest home, hospital and dementia levels of care.  Two long and one short shift caregivers cover the AM and PM shifts in the men’s unit and two long shift caregivers cover the AM and PM shifts in the women’s unit.  Two caregivers cover both units during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wings (52 residents in 56 available beds) is divided into two wings.  Pohutakawa wing had 6 rest home and 18 hospital; and Kowhai wing had 2 rest home and 26 hospital).  Rest home and hospital wings are staffed with one RN on each wing for the AM and PM shifts and one RN for both wings during the night shift.  Pohutakawa is staffed with two long and two short shift caregivers on the AM shift and two long and one short shift caregivers on the PM shift.  Kowhai is staffed with four long and one short shift caregivers on the AM shift and three long and one short shift caregiver is rostered on the PM shift.  Two caregivers cover the two wings during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demonstrated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admission policies and processes in place.  Referring agencies establish the appropriate level of care required prior to admission of a resident.  Residents receive an information pack outlining services able to be provided, the admission process and entry to the service, including admission into the dementia care or psychogeriatric care units.  The clinical manager screens all potential residents prior to entry and records all admission enquires.  The three residents on LTS-CHC contracts (one PG and two dementia) had needs assessments requiring a secure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form in use aligns with the requirements of the ARC and ARHSS contract.  Exclusions from the service are included in the admission agreement.  The information provided at entry includes examples of how services can be accessed that are not included in the agreement.  Residents and families interviewed verified they received information prior to admission and had the opportunity to discuss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Residents who require admission to hospital or transfer are managed appropriately, and relevant information is communicated to the receiving health provider or service.  The family are asked to accompany the transfer of psychogeriatric or dementia level of care resident’s to hospital.  All supporting documentation accompanies residents to the receiving facility and communication with family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One hospital level resident who self-medicated a Ventolin inhaler had an up-to-date assessment and competency and the medication was stored safely with the resident.  Medications were stored safely in the units.  Registered nurses or senior caregivers who administer medications have completed their annual competency assessment.  Medication education is provided annually.  The RNs checks the robotic rolls on delivery against the medication charts.  ‘As required’ medications are delivered in blister packs and checked regularly for expiry dates.  There are standing orders that meet the requirements and are reviewed annually by the GP.  Medication fridge temperatures had been checked daily and were within the acceptable range.  Vaccinations were not stored on-site.  Eyedrops were dated on opening.  There were weekly checks on oxygen and suction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electronic medication management system.  Twenty-two medication charts were reviewed (four rest home, six hospital, eight dementia and four psychogeriatric).  All charts reviewed had photo identification and allergy status documented.  All medication sheets evidenced three monthly reviews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 required’ medication had indications prescribed for use.  Effectiveness of ‘as required’ medication administered was documented in the electronic medication system.   Anti-psychotic management plans are used for residents on anti-psychotic medications when medications are commenced, discontinued or changed.  The general practitioner reviews the anti-psychotic management plans for residents with stable behaviours and the psychogeriatrician reviews the management plans for residents with acute changes in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in a well-equipped kitchen.  The kitchen manager/qualified chef is supported by a team of cooks and kitchenhands who have all completed food safety and hygiene training.  The four weekly winter and summer Bupa menu has been reviewed by a dietitian last September 2018.  The menu offers an alternative option.  The kitchen manager receives a nutritional profile for each resident and is notified of any changes to dietary requirements.  Cultural food preferences are met and include Indian foods, vegetarian meals and pureed meals.  Resident dislikes are known and accommodated.  Meals are plated and delivered in hot boxes to the ladies’ dementia unit and hospital dining room as there are no kitchenettes in these units.  Kitchenhands serve meals from bain maries in the rest home dining room, mens dementia unit and psychogeriatric unit.  Lip plates are provided to encourage resident independence with eating.  Staff were observed to be sitting with residents and assisting them with meals and fluids.  Fluids including sustagen, smoothies and nutritious snacks were sighted in the unit fridges.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22 September 2019.  The temperatures of refrigerators, freezers, chiller, incoming chilled goods and end cooked food are taken and recorded.  All food is stored appropriately, and date labelled.  The dishwasher wash and rinse temperatures are taken and recorded.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the service through meetings and surveys.  Residents and the family members interviewed commented very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and referring agency.  The reasons for declining entry would be if the service is unable to provide the assessed level of care or there are no beds available.  Anyone declined entry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(as appropriate).  InterRAI assessments were completed in all long-term resident files reviewed including the residents under long-term chronic health conditions and the younger persons.  An initial nursing assessment booklet including risk assessments (pressure injury risk, falls risk and pain), activities assessment and cultural assessments had been completed for all resident files reviewed.  Behaviour assessments were completed on admission for dementia care and psychogeriatric residents and reviewed six monthly or earlier if required.  A care summary was completed within 24 hours of admission.  The outcomes of assessments formed the basis of the long-term care plans.  Assessment process and the outcomes are communicated to staff at shift handovers through verbal and written shift reports.</w:t>
            </w:r>
          </w:p>
          <w:p w:rsidR="00EB7645" w:rsidRPr="00BE00C7" w:rsidP="00BE00C7">
            <w:pPr>
              <w:pStyle w:val="OutcomeDescription"/>
              <w:spacing w:before="120" w:after="120"/>
              <w:rPr>
                <w:rFonts w:cs="Arial"/>
                <w:b w:val="0"/>
                <w:lang w:eastAsia="en-NZ"/>
              </w:rPr>
            </w:pPr>
            <w:r w:rsidRPr="00BE00C7">
              <w:rPr>
                <w:rFonts w:cs="Arial"/>
                <w:b w:val="0"/>
                <w:lang w:eastAsia="en-NZ"/>
              </w:rPr>
              <w:t>Residents (rest home and hospital) and family interviews stated they were involved in the assessment process on admission and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long-term resident care plans were reviewed.  Long-term care plans reviewed were individualised, personalised and described the resident goals.  Documented interventions reflected the residents’ current needs and goals.  Outcomes of assessments were reflected in the care plans.  Behaviour management plans were in place for dementia and psychogeriatric residents which included triggers, behaviours and interventions including de-escalation strategies such as one-on-one time and activities.  There were specific care plans for residents with dementia and other medical/clinical problems.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demonstrated service integration and evidence of allied health care professionals involved in the care of the resident, such as mental health services for the older person team, podiatrist, dietitian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Residents (as appropriate) and their family confirmed they were involved in the care planning process as evidenced in the family contact form.  Short-term care plans reviewed were in use for changes in health status.  Short-term care plans were reviewed and resolved or added to the long-term care plan if an ongoing problem.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 condition changes the RN initiates a GP visit or nurse specialist referral.  The family is notified of any changes in the resident health status including incidents/accident, infections, GP visits and medication changes.  Relatives interviewed confirmed they are kept informed and the needs of their relatives are being met.   Short-term care plans are used to guide staff in the delivery of care to meet, for short-term/acute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were available and resident files reviewed included a continence assessment and plan as part of the plan of care.  Specialist continence advice is available through the DHB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Wound assessment, wound management and evaluation forms are in place for; nine rest home residents including one stage one pressure injury; ten hospital residents including one stage two pressure injury; four dementia care residents and four psychogeriatric residents with wounds (skin tears).  Wound management, monitoring, photos and short-term care plans were in place for wounds which had been reviewed as per the planned frequency.  All have appropriate care documented and provided, including pressure relieving equipment.  Access to specialist advice and support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understanding of the individualised needs of residents.  Monitoring forms reviewed included two hourly turning charts, monthly weight, vital signs, neurological observations, food and fluid charts, behaviour charts and pain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an activity assistant and two diversional therapists who provide activities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includes news and views, board games, cards, puzzles, housie and happy hour.  Entertainers are invited to the facility and residents reported this is enjoyed.  Regular outings into the community occur in the service’s van.  One-on-one activities occur for residents who choose not to be involved in group activities.  Themes and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Individual activity plans were seen in long-term resident files.  The service receives feedback and suggestions for the programme through monthly resident meetings and direct feedback from residents and families.  Residents interviewed spoke positively about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Dementia care and psychogeriatric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based in the psychogeriatric unit and oversees the activity assistant who coordinates activities in the two dementia units (ladies’ unit and mens unit).  They are on duty from 9 am to 5.30 pm five days a week over a seven-day period.  There is a diversional therapist and an activities staff member who work over the weekend working Saturdays and Sundays. Volunteers and caregivers provide one on one time and small group activities in the weekends.  Activities are incorporated in the caregiver’s role as observed on the days of audit.  There are activity boxes and plenty of resources in each of the units.  The activity assistant spends the morning in the ladies’ unit and the afternoon in the men’s unit.  The units have activity programmes that are displayed.  The programme is flexible to meet the resident’s recreational needs.  Dementia unit residents can choose to be involved/participate in the various exercises, newspaper reading, music, board games, walking group, card games and mini golf in the courtyard.  There is one on one time and hand massages.  Activities offered in the psychogeriatric unit includes music, reminiscing, sing-a-longs, story book reading, exercises, scrabble, colouring, hand and foot massages and one on one time.  All residents are involved in meaningful activities such as domestic tasks, pet therapy and feeding the ducks at the pond.  There are integrated activities that the residents attend as appropriate and under supervision including music therapy, happy hour with entertainment, multi-cultural group activities and church services.  There are weekly van trips/scenic drives to places of interest.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activities for younger residents under 65 years of age including those on long-term chronic health funding.  Specific group activities for younger people are included in the activities programme and known to the residents.  These include music therapy, pet therapy, R&amp;B music and multicultural activities.  Residents also join in the group activities as desired.  Activity assessments identify the younger persons interests, hobbies and recreational preferences.  Each younger person has a younger person activity plan identifying the group and individual activities they wish to participate in, including drives and outings.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an activity assessment and map of life completed on admission.  An activities and socialising plan is incorporated in the overall My Day, My Way care plan and is evaluated six monthly with input from the DT and activity team.  Participation records are maintained.  Residents (as appropriate) and family members can provide feedback on the programme through resident meetings and surveys.  Residents and relatives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initial care plans within three weeks of admission.  The long-term care plan had been evaluated six monthly for the three dementia care residents and two psychogeriatric resident files reviewed.  One psychogeriatric resident had not been at the service six months.  One new rest home resident (YPD) had a documented three-week post admission evaluation, one further rest home resident and three hospital residents all had documented six monthly care evaluations and annual multi team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letter is sent out to families, inviting them to attend a multidisciplinary team meeting (MDT).  Members of the MDT include the GP, RN, care staff, DT/activity person, resident (as appropriate) and family member.  Allied health professionals involved in the resident’s care either attend the meeting or provide input into the MDT evaluation of care.  Records of the MDT meeting are maintained, and the cares evaluated against the resident goals.  Any changes following the MDT meeting are updated on the care plan.  Copies of the updated care plan are sent to the family member if they have been unable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daily and either resolved or added to the long-term care plan if the problem is ongoing, as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RNs initiate nurse specialist referrals and specialist referrals are made through the GP.  The RNs interviewed provided examples of where a resident’s condition had changed, and the resident was reassessed.  Discussion with the RNs identified that the service has access to a wide range of support either through the GP, DHB specialists and contracted allied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certificate is posted at the entrance to the facility (expiry 16 March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in place that has been maintained.  There is a full-time maintenance person employed who has completed health and safety training.  The hot water temperatures are monitored weekly and maintained between 43-45 degrees Celsius.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There is outdoor furniture and shaded areas.  The psychogeriatric unit and each dementia unit have a separate secure garden area.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Hayman continues to improve the community for residents and family including; new chairs in the Kowhai Lounge and Wahine Ataahua hallway.  The Tamatoa Community has new bedspreads and curtains.  The lounge has been wallpapered, has new lights and furniture, giving the room more of a sensory/relaxation room.  Wahine Ataahua has new furniture for the lounges, a TV for the small room and new bedspreads.  The Kowhai wing has refurbished six bedrooms and they plan to do another six rooms and ensuites.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Garden upgrades have included; a small deck made larger outside the small lounge in Aroha.  An additional deck has been installed outside Kowhai lounge with a sunshade. A new sunshade has gone up in the front garden.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purchased outdoor furniture for all areas of the care home and are replanting the gardens ready for summer.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dual-purpose rooms all have single ensuites.  There are adequate numbers of communal toilets located near the communal areas.  There is appropriate signage, easy clean flooring and fixtures and handrails appropriately placed.  Residents interviewed reported their privacy is maintained at all times.  Residents in the psychogeriatric and dementia units share ensuites with automatic locks to protect the resident’s privacy.  There is an emergency release button for staff to use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locks are installed on all toilet and shower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They are spacious enough to manoeuvre transferring and mobility equipment to safely deliver care.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lounges in each of the units.  Each unit also has a kitchenette and open plan dining area.  All lounge/dining rooms are accessible and accommodate the equipment required for the residents.  Residents are able to move freely, and furniture is well arranged to facilitate this.  Seating and space is arranged to allow both individual and group activities to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dementia and psychogeriatric units to allow maximum freedom of movement while promoting safety for those that wander.  There is an open plan dining/lounge area and smaller, quiet lounges available and seating alcoves.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done off-site at another Bupa facility.  Dirty laundry is collected daily and clean laundry is returned daily for folding and dispersing.  Laundry and cleaning audits are completed as part of the internal audit programme.  The laundry and cleaning rooms are designated areas and clearly labelled.  Chemicals were stored in locked rooms.  All chemicals were labelled with manufacturer’s labels.  There are sluice rooms for the disposal of soiled water or waste.  These are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staff.  Cleaning trolleys were well equipped and stored safely when not in use.  Residents and relatives interviewed reported that they were satisfied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approved fire evacuation plan is in place.  There are emergency management plans to ensure health, civil defence and other emergencies are included.  Fire evacuation practice documentation was sighted.  A contracted service provides checking of all facility equipment including fire equipment.  Fire training and security situations are part of orientation of new staff.  Emergency equipment is available at the facility.  There were adequate supplies in the event of a civil defence emergency including food, water, blankets and gas cooking.  Short-term back-up power for emergency lighting is in place.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ceiling heating throughout the personal and communal areas.  All communal rooms and bedrooms are well ventilated and light.  Residents and family interviewed stated the temperature of the facility is comfortable.  There is plenty of natural light in residents’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Hayman has an established infection control programme.  The infection control programme, its content and detail, is appropriate for the size, complexity and degree of risk associated with the service.  It is linked into the Riskman incident reporting system and reported to head office.  A registered nurse based in the psychogeriatric unit is the designated infection control coordinator who has been in the role since August 2019.  She has a job description and is supported in the role by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by teleconference with all other infection control coordinators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vaccines are offered to residents and staff annually.  Visitors and family are advised not to visit if they are unwell.  There are hand sanitisers strategically placed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confirmed norovirus outbreaks, one in July 2018 and the other in December 2018.  The health protection unit was notified, and the service commended for containing the outbreak in July 2018 to one unit.  Documentation including daily case logs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education.  There are quality meetings held two monthly which includes discussion and reports on infection control data.  There were adequate resources to implement the infection control programme for the size and complexity of the organisation.  There is advice and support from the management team, expertise at head office, infection control consultant and infection control officer at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Bupa organisational infection control policies and procedures appropriate to for the size and complexity of the service.  The infection control manual outlines a comprehensive range of policies, standards and guidelines and includes defining roles, responsibilities and oversight, infection control training and education of staff.  The policies were developed by the Bupa organisation management team and reviews/updates are distributed by head office.  Policies are discussed at staff meetings and are readily available in hard copy and on the intranet.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Annual infection control education including hand hygiene has occurred for all staff.  The infection control coordinator attends handovers and provides topical toolbox talks for staff on infections and infection control practice.  All new staff complete orientation which includes infection control and hand hygiene.  Staff complete infection control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Bupa infection control manual.  Surveillance of all infections is entered into a monthly infection summary.  The infection control coordinator provides infection control data, trends and relevant information to the quality risk team and clinical meetings.  Areas for improvement are identified, corrective actions developed and followed up.  This data is monitored and evaluated monthly at head office.  There are key performance indicators for all infection types.  The service has been successful in reducing urinary tract infections (UTI) in the rest home, psychogeriatric unit and dementia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At the time of the audit, the service had no residents using enablers or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030"/>
        <w:gridCol w:w="7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‘releasing time to care’ programme has resulted in a significant increase in time to allow carers to spend more time with the residents.  Resident and relative satisfaction survey results have improved as a result.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2017 the facility initiated the Bupa ‘releasing time to care’ programme.  The actions taken were driven by feedback from residents and families and input from staff.  Extensive staff training was implemented, and a high tea brought families to the facility to get their ideas.  Actions taken to release time to care addressed many areas of the facility (eg, working in pairs, the dining experience, meals, handovers, hoists, meetings, kitchen and keypads).  Staff have been able to spend more time with residents.  In 2018, approximately 890 hours were released on average each month, freeing up time to care.  Resident and relative satisfaction survey results also reflected higher levels of satisfaction.  The net promoter score went from +6 in 2016 to +40 in 2017 and +63 in 2018.  The 2019 net promoter score was +75.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activities for younger residents under 65 years of age including those on long-term chronic health funding.  Specific group activities for younger people are included into the activities programme and known to the residents.  There has been an increase in younger people satisfaction with activities.  They have recently increased the size of the team and the team is now made up of an Activities Co-ordinator, an activities assistant and two diversional therapists to assist with improving the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project around improving the activity programme for younger people.  The activities plan now includes more YPD activities and they have been getting out and doing more community-based activities this year. One of the Hindi speaking household team members is doing activities with two of the Hindi speaking residents. One of the daughters of one of the residents runs a weekly Maori Cultural Group and a Multicultural Group – which includes a wide range of music from the various cultures. Other activities include music therapy, pet therapy, R&amp;B music and multicultural activities. Residents also join in the group activities as desired.  Activity assessments identify the younger persons interests, hobbies and recreational preferences.  Each younger person has a younger person activity plan identifying the group and individual activities they wish to participate in, including drives and outings.  Younger people have input into activities and there is more involvement in community-based outings such as pizza for lunch, beach outings and cafes for coffee.   The Net Promotor Score from the families in the Resident Satisfaction survey has gone from +6 in 2016, +40 in 2017 and + 63 in 2018 to +75 in 2019. The residents score we received + 76 in 2018 and +83 in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commenced a project to reduce UTIs.  An action plan was implemented resulting in the number of UTIs in the rest home, psychogeriatric unit and dementia units well below the organisational key performance indicator for UTIs.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infection control committee that meets monthly, as a subset of the quality management meeting.  Surveillance data is reviewed at this meeting and where required; corrective action plans are developed.  The infection control committee undertook a post-incident review following an outbreak in the dementia units and recommended and implemented a number of improvements to the way an outbreak is managed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action plan was implemented to reduce UTIs in all units which included additional fluid rounds (written into the caregivers’ task list) at least two hourly, two hourly toileting, good perineal hygiene, hand hygiene for caregivers and resident, frequent cleaning of the communal toilets and cranberry juice daily for residents prone to UTIs.  There was evidence of education around UTIs and toolbox talks at handover to keep staff informed and focused on the action plan to reduce UTIs.  Over the last seven months in the dementia units there have been four UTIs, in the psychogeriatric unit and rest home only one UTI in seven months.  The service has been successful in reducing UTIs especially in the dementia units and psychogeriatric unit where there are communal toilets and residents with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Hayman Rest Home &amp; Hospital</w:t>
    </w:r>
    <w:bookmarkEnd w:id="58"/>
    <w:r>
      <w:rPr>
        <w:rFonts w:cs="Arial"/>
        <w:sz w:val="16"/>
        <w:szCs w:val="20"/>
      </w:rPr>
      <w:tab/>
      <w:t xml:space="preserve">Date of Audit: </w:t>
    </w:r>
    <w:bookmarkStart w:id="59" w:name="AuditStartDate1"/>
    <w:r>
      <w:rPr>
        <w:rFonts w:cs="Arial"/>
        <w:sz w:val="16"/>
        <w:szCs w:val="20"/>
      </w:rPr>
      <w:t>15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