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Ripponburn Holdings Limited - Ripponburn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Ripponburn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Ripponburn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September 2019</w:t>
      </w:r>
      <w:bookmarkEnd w:id="7"/>
      <w:r w:rsidRPr="009418D4">
        <w:rPr>
          <w:rFonts w:cs="Arial"/>
        </w:rPr>
        <w:tab/>
        <w:t xml:space="preserve">End date: </w:t>
      </w:r>
      <w:bookmarkStart w:id="8" w:name="AuditEndDate"/>
      <w:r w:rsidR="00A4268A">
        <w:rPr>
          <w:rFonts w:cs="Arial"/>
        </w:rPr>
        <w:t>27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Ripponburn Hospital and Home provides rest home and hospital level care for up to 46 residents. The service is operated by Ripponburn Holdings and managed by one of the directors as the general manager and a nurse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(DHB). 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Areas identified as requiring improvement relate to medication management and testing and tagging of electrical cords and appliances.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A resident who identifies as Māori has their needs met in a manner that respects their cultural values and beliefs. There is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admission into the facility is managed and coordinated by the nurse manager and general manager. Relevant information is provided to the potential resident/family prior to admission.</w:t>
      </w:r>
    </w:p>
    <w:p w:rsidRPr="00A4268A" w:rsidP="00621629">
      <w:pPr>
        <w:spacing w:before="240" w:line="276" w:lineRule="auto"/>
        <w:rPr>
          <w:rFonts w:eastAsia="Calibri"/>
        </w:rPr>
      </w:pPr>
      <w:r w:rsidRPr="00A4268A">
        <w:rPr>
          <w:rFonts w:eastAsia="Calibri"/>
        </w:rPr>
        <w:t xml:space="preserve">The registered nurses (RNs) and general practitioner (GP), assess residents’ needs on admission.  Care plans are individualised, based on a comprehensive range of information and accommodate any new problems that might arise.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activities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Medication management policies reflect legislative requirements and guidelines.</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and cleaning processes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Ripponburn home and hospital has implemented policies and procedures that support the minimisation of restraint. No enablers were in use at the time of audit. Use of enablers is voluntary for the safety of residents in response to individual requests.   Four restraints were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(IPC) aims to prevent and manage infections. The programme is led by an experienced and trained infection control coordinator.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has been no infection outbreak since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3"/>
        <w:gridCol w:w="1280"/>
        <w:gridCol w:w="89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Hospital and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These are signed by the enduring power of attorney (EPOA) when required and the general practitioner makes a clinical based decision on resuscitation authorisation. Advance care planning, establishing and documenting enduring power of attorney requirements and processes for residents unable to consent is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of their choice. Staff provided examples of the involvement of advocacy services in relation how to access the service if required such as following a complaint from a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and other organised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are documented and completed within the timeframes. Action plans show any required follow up and improvements have been made where possible. The general manger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through discussion with staff and by posters and brochures. The Code is displayed in reception areas together with information on advocacy services, how to make a complaint, “Ideas on how to make your visit more meaningful” brochure for family and visitors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Staff were observed to maintain resident’s privacy throughout the audit.  All residents have a private room or share a room with another person with their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community activities, arranging their own visits to the hairdresser, and regular visits by friends and family.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resident who identifies as Māori. Cultural support is included in the residents’ care plan and includes weekly visits by a Māori cultural support person. The service has a Māori health plan in place which was reviewed. Guidance on tikanga best practice is available by the local Kapahaka coordinators. </w:t>
            </w:r>
          </w:p>
          <w:p w:rsidR="00EB7645" w:rsidRPr="00BE00C7" w:rsidP="00BE00C7">
            <w:pPr>
              <w:pStyle w:val="OutcomeDescription"/>
              <w:spacing w:before="120" w:after="120"/>
              <w:rPr>
                <w:rFonts w:cs="Arial"/>
                <w:b w:val="0"/>
                <w:lang w:eastAsia="en-NZ"/>
              </w:rPr>
            </w:pPr>
            <w:r w:rsidRPr="00BE00C7">
              <w:rPr>
                <w:rFonts w:cs="Arial"/>
                <w:b w:val="0"/>
                <w:lang w:eastAsia="en-NZ"/>
              </w:rPr>
              <w:t>Staff acknowledge and respect the residents’ individual cultural needs. Staff support residents in the service who identify as to integrate their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(for example religion). The annual resident satisfaction audit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palliative care team, wound care specialist, and continuing education programme for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discussed during the audit included the evening reading programme. The organisation reported it has noted a change in residents’ behaviour since the programme was introduced such as a reduction of falls and reduced wandering of a number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the residents are able to speak English. The service has developed a specific brochure for family and friends when access the service to guide “Ideas on how to make your visit more meaningful” brochure. The nurse manager reported this was well utilised as evidenced by the number that required printing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Ripponburn Hospital and Home is owned by Ripponburn holdings.  The general manager (GM) is part owner of Ripponburn Home and Hospital along with other family members. The GM outlined the annual and longer-term objectives and the associated operational plans. A sample of the annual report to the board of directors showed adequate information to monitor performance is reported including, incidents/events, health and safety, infection prevention and control and other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GM who holds relevant qualifications and has been in the role for 15 years and a total of 27 years’ experience. The GM confirms knowledge of the sector, regulatory and reporting requirements and maintains currency through membership with the retirement village association (RVA). The GM is supported by an experienced nurse manager (NM) who has been in the position for more than 14 years. The NM is responsible for oversight of clinical care provided to residents and quality activities.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residential care (including under 65years), exceptional circumstances and day care. Fourteen residents were receiving services under the rest home contract, 29 hospital care and one special circumstances at the time of audit. At audit no residents were under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nurse manager (NM) carries out all the required duties under delegated authority. During absences of key management clinical staff, the clinical management is delegated to the RN on duty, with the support of the NM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a continuous improvement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meeting/quality and risk team meetings and department staff meetings. Staff reported their involvement in quality and risk management activities through audit activities and reports at staff meetings. Relevant corrective actions are developed and implemented to address any shortfalls. Resident and family satisfaction surveys are completed annually. The most recent survey showed satisfaction with the service. One resident’s family member indicated difficulty finding their way around the facility. The outcome was a map that to give clear directions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described the processes for the identification, monitoring, review and reporting of risks and hazards and development of mitigation strategies for each department. The NM is familiar with the Health and Safety at Work Act (2015) and has the role of the health and safety officer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at staff and board of directors’ meetings.</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essential notification reporting requirements, including for pressure injuries.  They advised there have been no notifications of significant events made to the Ministry of Health, or DHB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As part of the pre-audit, feedback was sought from the DHB and no issues were raised.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and other relevant education such as stoma care, managing challenging behaviours, dealing with challenging situations, elder abuse and safe cultural practice. The training coordinator is responsible for this with input from the general manager and nurse manager.</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to meet the requirements of the provider’s agreement with the DHB. A staff member is the internal assessor for the programme. There are four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roster confirmed adequate staff cover has been provided, with staff replaced in any unplanned absence. At least one staff member in the hospital wing is a registered nurse who provides assistance when required for the rest home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hard copy and fully completed in the residents’ files sampled for review. Clinical notes were current and integrated with GP records. This included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within the current clinical files. When required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NM are responsible for managing the admission process. Residents enter the service when their required level of care has been assessed and confirmed by the local Needs Assessment and Service Coordination (NASC) agency. Prospective residents and/or their families are encouraged to visit the facility prior to admission and are provided with written information about the service and the admission process.  A record of all inquiries was kept by the GM and follow up completed as required. The inquiries book was sighted.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by the nursing team and the GP, with an escort as appropriate.  If the needs of a resident change and they are no longer suitable for the services offered, a referral for reassessment to the NASC is made and a new placement found, in consultation with the resident and whānau/family.  Ripponburn home and hospital uses a standardised form to facilitate transfer of residents to and from acute care services. The GM reported that there is open communication between all services, the resident and the family/whānau.  At the time of transition between services, appropriate information is provided for the ongoing management of the resident. Referrals were documented in the progress notes in the reviewed files. Information related to when a resident’s placement can be terminated is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RNs checks medications against the prescription. All medications sighted were within current use by dates. Clinical pharmacist input is provided six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medications at the time of audit. Appropriate processes were in place to ensure this was managed in a safe manner. Documentation of self-medication administration was completed in the resident’s care plan, assessment and consent forms were sighted in the resident’s file. Regular reviews of self-medication administration were completed every three months. In interview conducted, the resident reported that they were comfortable with the process and they had regular contact with the nurses. Resident’s medication was kept secure in the resident’s room.</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Corrective actions were implemented for all medication incidents.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with regard to the preparation of medication for administration and medication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by a qualified chef, cooks and kitchen hands, and is in line with recognised nutritional guidelines for older people.  The meals are served in the main dining rooms and in residents’ rooms if desired by the resident. The menu follows summer and winter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(MPI). Food, fridge and freezer temperatures are monitored appropriately and recorded as part of the plan. The chef has undertaken a safe food handling qualification, with cooks and kitchen assistants completing relevant food handling training. The kitchen was clean, the pantry tidy and adequate stock was sighted. Training records were sighted in the documents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requirements for each resident are assessed on admission by the admitting RN and a diet profile developed, a copy is sent to the kitchen staff.  Residents’ personal food preferences, any special diets, allergies, dislikes and modified texture requirements are made known to kitchen staff and accommodated in the daily meal plan. Special equipment, to meet resident’s nutritional needs, was available. </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reported satisfaction with the meals provided. Evidence of resident satisfaction with meals was verified by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The GM reported that the resident and/or family will be advised of the reason for the decline and will be referred to alternative providers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are completed by the RNs using validated nursing assessment tools such as pain scale, falls risk, skin integrity, nutritional screening and continence, mobility and communication assessments, as a means to identify any deficits and to inform care planning within 24 hours of admission. InterRAI assessments and care plans were completed within three weeks of admission. The sample of care plans reviewed had an integrated range of resident-related information.  All residents had current interRAI assessments completed and the relevant outcome scores have supported care plan goals and interventions in the reviewed files.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Changes to residents’ needs were documented and communicated to relevant staff as required. Interviewed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files reviewed, interventions were adequate and appropriate to meet the assessed needs and desired outcomes. Interviews with residents and family verified that care provided to individual residents was consistent with their needs, goals and the plan of care. The interviewed GP verified that medical input is sought in a timely manner, that medical orders are followed, and care is implemented promptly. Interviewed staff confirmed that care was provided as outlined in the care plans. Appropriate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assessments are completed with input from the family within three weeks of admission by the diversional therapist (DT). Collected social history data is utilised to ascertain residents’ needs, interests, abilities and social requirements. Activities assessments are regularly reviewed to help formulate an activities programme that is meaningful to the residents. There are individualised activities plans for each resident that take into consideration residents’ needs, age, culture and setting of the service. Residents’ activity needs were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DT, and three activities assistants and covers seven days of the week. There are separate planned activities for rest home and hospital level residents. However, all residents are free to join either side activities if desired, and there are other activities that are combined especially the ones provided by external groups or performers and church services. Individual, group activities and regular events are offered.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Residents and families/whānau were involved in evaluating and improving the programme through residents’ meetings, satisfaction surveys and six-monthly multidisciplinary reviews. Residents interviewed confirmed they find the programme satisfactory. The activities on the programme include: Bingo, internal quiz sessions, music, newspaper reading, bowls, church sessions, external entertainment, visits from the day care, quiz competitions with other service providers, Tai Chi, RSA afternoon tea, care and friendship sessions where residents go out into the community. The residents were observed participating in a variety of activities on the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by care staff and reported in the progress notes. If any change is noted, it is reported to the RNs. The RN’s reviews and documents in the progress notes weekly. Evidence was sighted in the reviewed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Reviewed care plans were evaluated six monthly following the six-monthly interRAI reassessments, or as residents’ needs change. Where progress was different from expected, the service responds by initiating changes to the plan of care. Reviewed short-term care plans were consistently reviewed and progress evaluated as clinically indicated for acute infections and wounds.  Interviewed RNs reported that, when necessary, and for unresolved problems, long term care plans are updated.  Interviewed residents and families/whanau confirmed their involvement in evaluation of progress and any resulting changes through six-monthly monthly multidisciplinary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 GM or RNs and the GP facilitates and supports residents to access or seek other health and/or disability service providers as required. The service has contracted GP services through a local medical centre, residents may choose to use other medical practitioners if desired. If the need for other non-urgent services are indicated or requested, the GP or RNs sends a referral to seek specialist input.  Copies of referrals were sighted in residents’ files, including to palliative care specialists, wound care specialists and mental health team. The resident and the family/whānau are kept informed of the referral process, as verified by documentation and interviews with family and residents.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(Diversity) is contracted to supply and manage all chemicals and cleaning products. They also provide relevant training for staff. Material safety data sheets were available where chemicals are stored, and staff interviewed knew what to do should any chemical spill/event occur.  There is provision and availability of protective clothing and equipment and staff were observed using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purpose built in the1930’s. A current building warrant of fitness was sighted (expiry date 14th June 2020).</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External areas are safely maintained and are appropriate to the resident groups and setting.</w:t>
            </w:r>
          </w:p>
          <w:p w:rsidR="00EB7645" w:rsidRPr="00BE00C7" w:rsidP="00BE00C7">
            <w:pPr>
              <w:pStyle w:val="OutcomeDescription"/>
              <w:spacing w:before="120" w:after="120"/>
              <w:rPr>
                <w:rFonts w:cs="Arial"/>
                <w:b w:val="0"/>
                <w:lang w:eastAsia="en-NZ"/>
              </w:rPr>
            </w:pPr>
            <w:r w:rsidRPr="00BE00C7">
              <w:rPr>
                <w:rFonts w:cs="Arial"/>
                <w:b w:val="0"/>
                <w:lang w:eastAsia="en-NZ"/>
              </w:rPr>
              <w:t>Calibration of bio medical equipment is current as confirmed in documentation reviewed, and observation of the environment. An improvement is required to ensure that the testing and tagging of electrical appliances is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Maintenance is completed in an on-going manner by two employed maintenance personal. An inspection of the facility confirmed that all maintenance concerns were being addressed.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All hazards are identified and monitored accordingly, with any concerns reported to management and discussed at staff and board meetings. Routine environment audits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Signs of vermin is monitored with appropriate action taken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shared bathrooms, ensuites and separate toilets. Each resident room has a handbasin. Equipment and accessories are available to promote resident independence. Hot water temperatures are routinely monitored at the point of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residents in the hospital wing share accommodation. Where rooms are shared approval has been sought and staff access the resident’s suitability to share. A relative confirmed interviewed being asked for permission. Rooms are personalised with photos and other personal items displayed. Adequate personal space is provided to allow residents and staff to move around within their bedrooms safely. There is room to store mobility aids and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restrictions regarding visiting hours and family interviewed confirming that they are made welcome at any time. The facility provides a sleeping over room for relatives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area. Dedicated laundry staff demonstrated a sound knowledge of the laundry processes, dirty/clean flow and handling of soiled linen. An audit undertaken at the beginning of the year indicated an issue with residents’ clothes being returned in a timely manner. The facility developed an action plan to address the issue with one action to clearly relabel all the residents clothing. The following audit indicated increased compliance with clothing being returned correctly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This was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A trial evacuation takes place six-monthly with a copy sent to the New Zealand Fire Service, the most recent being on 1st May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number of residents. There is a water storage tank and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bell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Heating is provided by radiators in the corridors and in the communal areas providing a thermostatically controlled heating throughout the facility and ensuring temperatures can be monitored. The facility has plenty of natural light and ventilation. Each bedroom has an external window of normal proportions. There are no residents or staff that smoke on the premises.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Ripponburn home and hospital has implemented an infection prevention and control (IPC) programme to minimises the risk of infection to residents, staff and visitors.  The programme is guided by a comprehensive and current infection control manual, with input from specialist services.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coordinator is the designated infection control coordinator (ICC), whose role and responsibilities are defined in a job description. Infection control matters, including surveillance results, are reported monthly to the GM, and tabled at the quality improvement committee meeting.  This committee includes the GM, NM, the health and safety officer, DT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notice at the main entrance to the facility requesting anyone who is or has been unwell in the past 48 hours with an infectious condition,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were offered the influenza vaccine through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is a member of the infection control nurse’s college, has completed external training in infection prevention and control and attended relevant infection control study days, as verified in training records sighted.  Additional support and information are accessed from the infection control team at the local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and interviewed staff confirmed the availability of resources to support the programme and any outbreak of an infection. There have been no notifiable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November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by the ICC.  Interviews, observation and documentation verified staff have received education on infection prevention and control at orientation and ongoing education sessions.  Content of the training is documented and evaluated to ensure it is relevant, current and understood.  A record of attendance was completed. When there was an increase in infection incidence, there was evidence that additional staff education has been provided in response. An example of this occurred when there was in increase in chest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 intake when urinary tract infections were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eye, gastro-intestinal, the upper and lower respiratory tract, gastro-intestinal and multi resistant organisms. The infection surveillance was carried out as specified in the infection control programme. The ICC reviews all reported infections with support from the NM and RNs and these are documented.  New infections and any required management plans are discussed at shift handovers,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in the quality improvement committee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Ripponburn home and hospital’s restraint policies and procedures meet the requirements of the restraint minimisation and safe practice standards and provide guidance on the safe use of both restraints and enablers.  The NM is the restraint coordinator. In the interview conducted, the NM demonstrated a sound understanding of the organisation’s policies, procedures and practice and their role and responsibilities as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four residents were using restraints and no residents were using enablers. The restraints in use were bedrails and lap belts.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the staff reported that restraint is used as a last resort when all alternatives have been explored. This was evident on review of the restraint approval group minutes and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GM, NM, GP and health and safety coordinator are responsible for the approval of the use of restraints and the restraint processes. It was evident from review of restraint approval group meeting minutes, residents’ files and interviews with the restraint coordinator that there are clear lines of accountability, that all restraints have been approved, and the overall use of restraints is being monitored and analysed three-monthly.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involvement in the decision making was on file in each case. Restraint consent forms were sighted in residents’ files. The use of restraint was documented in the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this standard. The initial restraint use assessments are completed by the RNs with the involvement of the restraint coordinator, resident, family/EPOA where appropriate. In interviews conducted, the RNs and the restraint coordinator described the documented process.  Families confirmed their involvement in the assessment process and plan of care. The GP was involved in the final decision on the safety of the use of the restraint. The assessment process identified the underlying cause of the behaviour or condition where applicable, history of restraint use, cultural considerations, alternative methods trialled and associated risks. The desired outcome was to ensure the residents’ safety and security. Completed assessments were sighted in the records of residents who were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was reviewed and evaluated during care plan, interRAI reviews, three- and six-monthly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this standard, including future options to eliminate use, the impact and outcomes achieved. Restraint audits were completed, and corrective action plans were implemented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committee undertakes a three-monthly review of all restraint use which includes all the requirements of this standard. Individual restraint use is reported in the quality and staff meetings every two months.  Minutes of meetings reviewed confirmed this included analysis and evaluation of the amount and type of restraint use in the facility, whether all alternatives to restraint have been considered and the effectiveness of the restraint in use. Restraint use competency assessments for staff were completed annually, current restraint competencies were sighted in reviewed staff files. Restraint use internal audits also informed these meetings. Any changes to policies, guidelines, education and processes are implemented if indicated as reported by the restraint coordinator in the interview conducted.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8"/>
        <w:gridCol w:w="1280"/>
        <w:gridCol w:w="4742"/>
        <w:gridCol w:w="2957"/>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GPs prescribes medication and all prescription charts reviewed had current three-monthly medication reviews completed consistently. Dates for commencement and discontinuation of medicines and all requirements for (PRN) medicines were documented. Allergies were documented and current residents’ photos were in place for easy identification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medication requirements have been maintained. For example, medication is being decanted into medicine cups and stored in the medication trolley and some medications are being crushed without evidence of approval.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Discontinue decanting medication and provide evidence of approval to crush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administer medicines have current medication administration competencies. However, these competencies were signed off by staff who do not have current medication administration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have the required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medication administration competencies for all RNs are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Inspection of electrical cords and appliances was noted not to be current. The facility has arranged for this to be completed at the end of October prior to audit therefore the risk rating has been reduced to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electrical cords and appliances testing, and tagging was not current (expiry early September 2019).</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testing and tagging of electrical cords and appliances is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Ripponburn Holdings Limited - Ripponburn Home and Hospital</w:t>
    </w:r>
    <w:bookmarkEnd w:id="58"/>
    <w:r>
      <w:rPr>
        <w:rFonts w:cs="Arial"/>
        <w:sz w:val="16"/>
        <w:szCs w:val="20"/>
      </w:rPr>
      <w:tab/>
      <w:t xml:space="preserve">Date of Audit: </w:t>
    </w:r>
    <w:bookmarkStart w:id="59" w:name="AuditStartDate1"/>
    <w:r>
      <w:rPr>
        <w:rFonts w:cs="Arial"/>
        <w:sz w:val="16"/>
        <w:szCs w:val="20"/>
      </w:rPr>
      <w:t>26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