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Falani Limited - Virginia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Falani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Virginia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Virginia Lodge provides care for up to 21 rest home level residents.  On the day of the audit there were 20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The owner/director has a background in business management and has privately owned Virginia Lodge for two years.  He is supported by an experienced nurse manager/enrolled nurse.  They are supported by a full-time clinical manager (registered nurse), registered nurses and long-standing staff.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The service has addressed the previous certification shortfall relating to monitoring.  </w:t>
      </w:r>
    </w:p>
    <w:p w:rsidRPr="00A4268A">
      <w:pPr>
        <w:spacing w:before="240" w:line="276" w:lineRule="auto"/>
        <w:rPr>
          <w:rFonts w:eastAsia="Calibri"/>
        </w:rPr>
      </w:pPr>
      <w:r w:rsidRPr="00A4268A">
        <w:rPr>
          <w:rFonts w:eastAsia="Calibri"/>
        </w:rPr>
        <w:t xml:space="preserve">This surveillance audit identified no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responsible for the day-to-day operations.  Goals are documented for the service with evidence of regular reviews.  A quality and risk management programme was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were in place, which includes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InterRAI assessments and care plans are completed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Virginia Lodge has a current building warrant of fitness and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Virginia Lodge has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Virginia Lodge continues to implement their infection surveillance programme.  Infection control issues are discussed at both in the infection control and quality/staff meetings.  The infection control programme is linked with the quality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2"/>
        <w:gridCol w:w="1280"/>
        <w:gridCol w:w="99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at the entrance to the facility.  Information around the complaints process is provided on admission.  A record of all complaints, both verbal and written is maintained by the facility manager on the complaints register.  Three complaints have been received since the last audit; two in 2018 and one in 2019.  Documentation and correspondence reflected evidence of responding to the complaints in a timely manner with appropriate follow-up actions taken.  Caregivers interviewed confirmed that complaints and any required follow-up is discussed at staff meetings as sighted in the minutes.  Complaint documentation requiring changes to care planning are signed by staff once read.  Residents and relatives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Five residents interviewed stated that they were welcomed on entry and were given time and explanation about the services and procedures.  Both the facility manager and clinical manager were available to residents and relatives and they promote an open-door policy.  Incident forms reviewed in September 2019 evidenced that relatives had been notified on all occasions.  Four relatives interviewed advised that they were promptly notified of incidents and when residents’ health status changed.  The registered nurse, caregivers and the diversional therapist interviewed fluently described instances where relatives would be notified.  Newsletters are available for visitors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Virginia Lodge provides care for up to 21 rest home level residents.  On the day of audit, there were 20 residents including two residents on a short-term intermediate care contracts (DHB) and two residents on a DSS MOH contract and 16 residents on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Lodge’s mission and philosophy is identified in the strategic business plan which is reviewed annually.  The 2019 business/quality plan includes goals to achieve full occupancy, continue to achieve a grade ‘A’ for the food control plan audit, changes to the payroll system, implementing the medimap medication system and continue with the refurbishment of rooms as they become available.  The 2018 plan had been reviewed by the facility manager and the owner, and the current plan was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lives out of the area and has been the current owner since 1 April 2017.  He has a background in business management and human resources.  The facility manager (previous owner) has been in the role for four years at Virginia Lodge and has several years aged care experience and is an accomplished enrolled nurse (EN) with a current practicing certificate.  The facility manager is supported by a full-time clinical manager (who lives on site), and three registered nurses.  The clinical manager is a registered nurse with experience in aged care and Hospice.  One registered nurse works 32 hours a week and there are two casual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attended at least eight hours of education within the last year related to managing a rest home including an interviewing staff course (8hrs) and attends the DHB Aged Care Service Providers forums quarterly.  The clinical manager has completed the interRAI course and has attended a leadership and management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These are checked by an aged care consultant, who reviews policies to ensure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 continues to gain feedback and ‘Thank-you’ cards and emails from relatives around the previous continuous improvement around good practice during end of life supports.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infections and results of internal audits are completed.  Quality matters are taken to the monthly combined staff/quality meetings which includes health and safety and infection control.  Resident meetings occur six-weekly.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quality improvement plan.  The closure of corrective actions resulting from the internal audit programme was recorded, signed off by the facility manager and signed by staff who were not present at the meeting.  Quality/staff and resident meeting minutes include an accurate reflection of the discussion/outcomes of the meetings, including follow-up to actions taken as matters arising.  Record of monthly risk identification, and quality indicators is maintained and discussed at the monthly meetings and a copy is filed with the completed monthly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and the facility manager meet at least quarterly, minutes of the meeting are documented and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has been completed annually which in 2018 had 18 responses and showed overall satisfaction with the service particularly around activities and food services.  In 2019, the residents survey identified 100% satisfaction with the food services, and overall satisfaction with all other areas of the service.  The annual relatives survey went from 96% satisfaction to 100% in 2019.  There is an annual staff survey completed which shows overall staff are happy at work, changes were made to the care planning documentation as a corrective action following the 2018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facility and clinical manager confirmed that there is an awareness of the requirement to notify relevant authorities in relation to essential notifications.  There have been no notifications required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Incident forms are completed by staff, the resident is reviewed by the RN at the time of event and the form is forwarded to the nurse manager for final sign off.  Ten incident forms reviewed identified registered nurse follow-up.  There is an incident reporting policy to guide staff in their responsibility around open disclosure.  Incident/accident forms include a section to record relatives have been notified.  Minutes of the combined quality/staff meetings reflect a discussion of incident statistics and analysis.  The caregivers interviewed could discuss the incident reporting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clinical manager, one registered nurse, one diversional therapist and two caregivers employed since the last audit).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registered nurse files of attendance at the DHB external training.  Interviews with two caregivers confirmed participation in the Careerforce training programme.  A competency programme is in place that includes annual medication competency for staff administering medications.  Core competencies are completed, and a record of completion is maintained and signed.  Competency questionnaires were sighted in reviewed files.  The clinical manager and a casual registered nurse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Virginia Lodge has a documented rationale for determining staffing levels and skill mixes for safe service delivery.  There is a roster that provides sufficient and appropriate coverage for the effective delivery of care and support.  The facility manager works four days a week (Monday to Thursday) and is supported by the clinical manager who works Monday to Friday.  The registered nurse works four shifts a week, one casual registered nurse works between 2-3 shifts as required per week.</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three caregivers in the morning; 1 x 6.30 am to 3 pm, 1 x 7 am to 11 am and 1 x 7 am to 12 midday, this shift can be extended when acuity of residents is higher.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work in the afternoon shift; 1 x 3 pm to 8 pm and 1 x 4 pm to midnight.  One caregiver works from midnight to 8 am.  The clinical manager and registered nurses share the on-call hours.  The clinical manager and the cook (previous caregiver) live on site and are available to help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and residents confirmed that there are sufficient staff to meet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 have implemented an electronic medication management system.  The supplying pharmacy couriers all medicines in blister packs for regular and ‘as required’ medications.  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are assessed as medication competent to administer medication.  Registered nurses have completed syringe driver training.  Standing orders were not in use.  The medication fridge temperatures have been monitored daily and temperatures were within the acceptable range.  Ten medication files were reviewed.  Medication reviews were completed by the GP three monthly.  PRN medications were prescribed correctly with indications for use.  Medications are stored securely in the locked nurses’ station.  Controlled drug medications are appropriately stored.  There were no self-medicating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centrally located kitchen and all food is cooked on site.  There is a food services manual in place to guide staff.  There are two cooks who have food handling certificates and considerable cooking experience.  Food is served from the main kitchen to the dining area adjacent to it.  A current food control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six-week summer and winter menu has been reviewed by a registered dietitian.  Residents have had a nutritional profile developed on admission which identifies dietary requirements and likes and dislikes.  This is reviewed six monthly as part of the care plan review or sooner if required.  The two cooks interviewed were aware of changes in resident’s nutritional needs and were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100% satisfaction with food services for the last two years.  Regular audits of the kitchen fridge/freezer temperatures and food temperatures were undertaken and documented.  All food is stored appropriately.  There is special equipment available for residents if required.  Residents and relatives interviewed reported satisfaction with meals using words such as “perfect”, “wonderful” and “love the food”.  Meals are discussed at the resident meetings and feedback is given to kitchen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nurses and caregivers follow the plan and report progress against the plan each shift.  There is documented evidence on the family contact form in each resident file that indicates relatives were notified of any changes to their relative’s health.  Discussions with relatives confirmed they were notified promptly of any changes to their relative’s health.  Acute plans of care are used for short-term/acute changes in care.  These were in place for wounds and infections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One resident with challenging behaviours had monitoring forms maintained, triggers, behaviours and de-escalation techniques specific to this resident were in place.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wounds on the day of the audit including a suspected pressure injury/ischaemic wound which was reviewed by the wound specialist on the day of the audit.  All wounds had individual wound assessments, plans and evaluations which indicated progression or deterioration of the wounds.  Adequate dressing supplies were sighted in treatment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12 hours a week across Monday to Friday mornings.  The diversional therapist has a current first aid certificate.  Activities assessments, map of life and care plans were completed, and evaluations were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monthly programme includes pet therapy, chair exercises, group activities and newspaper reading.  The residents fundraise for charities in the community each year, this information and other activity information is displayed on the noticeboard and is discussed at resident meetings.  One resident is a keen gardener and grows vegetables in raised beds.  Special events include a high tea with fine china, tables are decorated, and entertainment is provided if available.  Friends and family of the residents are supportive and bring in pets, lambs, piglets and puppies.  There is a rock ‘n roll dance group which the residents talked about positively during interviews.  Monthly church services and weekly communion are held.  One-on-one time with residents occurs which was verified during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occur more often in the summertime and to another facility locally to play group games.  The service hires a van/taxi for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expressed satisfaction with the current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clinical manager or registered nurse within three weeks of admission and long-term care plans developed.  Long-term care plans have been evaluated by the clinical manager or registered nurse six monthly, using the interRAI tool or earlier for any health changes for files reviewed.  The GP reviews the residents at least three-monthly or earlier if required.  Ongoing nursing evaluations occur as indicated and are documented within the progress notes or the care plan.  The acute plans of care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 holds a current building warrant of fitness expiring on 20 June 2020.  Preventative and reactive maintenance occurs, and records are maintained.  Hot water temperatures are checked randomly and were within ranges.  Tradesmen are available if required.  Equipment has been tagged and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accessible for residents using mobility aids.  There is a large communal lounge area with a side area for residents and relatives to have some privacy if required.  Outdoor areas and gardens are well maintained and accessible to residents.  The gardens have seating and shade provided by the trees.  There is a designated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equipment (if required), to safely deliver the cares as outlined in the residents’ care plans.  There is a hoist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Virginia Lodge continues to implement their infection surveillance programme.  Individual infection alert forms were completed for all infections.  Infections were included on a monthly register and a monthly report and graphs were completed by the infection control coordinator (registered nurse).  Infection control (IC) issues were discussed at the combined quality and staff meetings.  The IC programme is linked with the quality programme.  In-service education is provided annually and in toolbox talks when required.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facility manager is the restraint coordinator.  There are currently no residents using restraint or enablers at Virginia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has been provided annually.  Caregivers interviewed could fluently describe the differences between restraint and enablers and procedures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Falani Limited - Virginia Lodge</w:t>
    </w:r>
    <w:bookmarkEnd w:id="58"/>
    <w:r>
      <w:rPr>
        <w:rFonts w:cs="Arial"/>
        <w:sz w:val="16"/>
        <w:szCs w:val="20"/>
      </w:rPr>
      <w:tab/>
      <w:t xml:space="preserve">Date of Audit: </w:t>
    </w:r>
    <w:bookmarkStart w:id="59" w:name="AuditStartDate1"/>
    <w:r>
      <w:rPr>
        <w:rFonts w:cs="Arial"/>
        <w:sz w:val="16"/>
        <w:szCs w:val="20"/>
      </w:rPr>
      <w:t>24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