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Remuera Rise Limited - Remuera Rise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Remuera Rise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Rise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2019</w:t>
      </w:r>
      <w:bookmarkEnd w:id="7"/>
      <w:r w:rsidRPr="009418D4">
        <w:rPr>
          <w:rFonts w:cs="Arial"/>
        </w:rPr>
        <w:tab/>
        <w:t xml:space="preserve">End date: </w:t>
      </w:r>
      <w:bookmarkStart w:id="8" w:name="AuditEndDate"/>
      <w:r w:rsidR="00A4268A">
        <w:rPr>
          <w:rFonts w:cs="Arial"/>
        </w:rPr>
        <w:t>26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Remuera Rise is owned by Remuera Rise Limited. Remuera Rise provides rest home and hospital level care for up to 12 residents. There are12 hospital level residents receiving care at the time of this audit. The village manager oversees the care home with an acting clinical manager managing the care on a day to day basis.</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policies and procedures, a review of residents’ and staff records, observations and interviews with residents, family members, the village manager, the acting clinical manager and the general practitioner. Feedback from residents and families was positive about the care and services provided.</w:t>
      </w:r>
    </w:p>
    <w:p w:rsidRPr="00A4268A">
      <w:pPr>
        <w:spacing w:before="240" w:line="276" w:lineRule="auto"/>
        <w:rPr>
          <w:rFonts w:eastAsia="Calibri"/>
        </w:rPr>
      </w:pPr>
      <w:r w:rsidRPr="00A4268A">
        <w:rPr>
          <w:rFonts w:eastAsia="Calibri"/>
        </w:rPr>
        <w:t>The one area requiring improvement from the previous audit has been addressed and is now fully attained. There were no new areas identified for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demonstrates residents’ rights to full and frank information, and open disclosure principles are met. Independent interpreter services are accessible if and when required. Staff interviewed ensure good lines of communication are maintained with residents.</w:t>
      </w:r>
    </w:p>
    <w:p w:rsidRPr="00A4268A">
      <w:pPr>
        <w:spacing w:before="240" w:line="276" w:lineRule="auto"/>
        <w:rPr>
          <w:rFonts w:eastAsia="Calibri"/>
        </w:rPr>
      </w:pPr>
      <w:r w:rsidRPr="00A4268A">
        <w:rPr>
          <w:rFonts w:eastAsia="Calibri"/>
        </w:rPr>
        <w:t>Complaints management is well documented. All processes are undertaken to meet standard requirements. There were no open complaints or external complaints at the time of the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statement was identified in the business and quality and risk management plan for 2019. The village manager oversees the care home. Strategies and service planning covers business strategies for all aspects of service delivery to meet residents’ needs and to meet good practice standards. </w:t>
      </w:r>
    </w:p>
    <w:p w:rsidRPr="00A4268A">
      <w:pPr>
        <w:spacing w:before="240" w:line="276" w:lineRule="auto"/>
        <w:rPr>
          <w:rFonts w:eastAsia="Calibri"/>
        </w:rPr>
      </w:pPr>
      <w:r w:rsidRPr="00A4268A">
        <w:rPr>
          <w:rFonts w:eastAsia="Calibri"/>
        </w:rPr>
        <w:t>Policies are developed and reviewed by an external consultant. The quality and risk system and processes support effective, timely service delivery. The quality management system includes an internal audit programme, compliments, complaints management, incident/accident reporting, hazard identification, resident satisfaction surveys and restraint and infection control data collection. Quality and risk management activities and results are shared with the village manager, staff residents and families as appropriate. Corrective action planning is documented when issues and/or improvements are required.</w:t>
      </w:r>
    </w:p>
    <w:p w:rsidRPr="00A4268A">
      <w:pPr>
        <w:spacing w:before="240" w:line="276" w:lineRule="auto"/>
        <w:rPr>
          <w:rFonts w:eastAsia="Calibri"/>
        </w:rPr>
      </w:pPr>
      <w:r w:rsidRPr="00A4268A">
        <w:rPr>
          <w:rFonts w:eastAsia="Calibri"/>
        </w:rPr>
        <w:t xml:space="preserve">New staff have orientation. Staff participate in relevant ongoing education. Applicable staff and contractors maintain current annual practising certificates. Residents and families confirmed during interview that all their needs and wants were met. </w:t>
      </w:r>
    </w:p>
    <w:p w:rsidRPr="00A4268A">
      <w:pPr>
        <w:spacing w:before="240" w:line="276" w:lineRule="auto"/>
        <w:rPr>
          <w:rFonts w:eastAsia="Calibri"/>
        </w:rPr>
      </w:pPr>
      <w:r w:rsidRPr="00A4268A">
        <w:rPr>
          <w:rFonts w:eastAsia="Calibri"/>
        </w:rPr>
        <w:t>The service has a documented rationale for staffing. Staffing numbers including registered nurse hours align with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multidisciplinary team including a registered nurse and general practitioner assess residents on admission. Care plans are individualised based on a comprehensive range of information and accommodate any new problems that might arise. Records reviewed demonstrated that the care provided and needs of residents are reviewed and evaluated on a regular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which is displayed in the entrance to the village and care home.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the audit.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specific surveillance is undertaken, analysed and results reported and communicated to staff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 of Right 10 of the Code of Health and Disability Services Consumers’ Rights (the Code). The information is provided to residents and family members on admission and there is complaints information and forms available in several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two minor complaints had been received since the previous audit and that actions were taken through to an agreed solution. The documentation was followed through and all was completed within the timeframes specified in the Code. Action plans reviewed showed any required follow-up and improvements have been made where possible.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complaints management and follow-up. All staff interviewed confirmed a sound understanding of the complaint process and what actions are required. There have been no complaints from external agencies received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health status and were advised in a timely manner about any in incidents or accidents and/or outcomes of regular and any urgent medical reviews. This was supported in residents’ records reviewed. Staff understood the principles of open disclosure which is supported by policies and procedures that meet the requirements of the Code. The open disclosure policy was reviewed on the 1 September 2019.</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an interpreter although reported this was rarely required due to most residents being able to communicate effectively in English. There are communication strategies in place for residents with cognitive impairment or who have non–verbal means of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Remuera Rise Business Plan for 2019 was reviewed.  The plan clearly outlines the purpose, values, scope, direction and goals of the organisation for the year. The philosophy of care for the organisation is documented in the plan. A sample of reports and minutes of meetings received by the village manager showed that information was being reported as requested and was followed up at the manager’s quality and staff meetings. The strengths, weaknesses, opportunities and threats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clinical manager who will be leaving this role at the end of October 2019. A senior registered nurse has been appointed as the acting clinical manager and will officially take over the role when the clinical manager has left. The village manager interviewed is fully aware that HealthCERT will need to be informed when the change officially occurs. Responsibilities and accountabilities are defined in a job description and the individual employment agreement. The village manager oversees the care facility and confirmed knowledge of the sector, regulatory and reporting requirements and maintains currency by attending related business courses. The senior RN/acting clinical manager is experienced in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rest home, respite and hospital (geriatric and medical) contracts with the Auckland District Health Board (ADHB) for up to 12 residents. On the day of the audit there were 12 hospital level care residents. There were no rest home level care or respite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improvement and is understood by the staff. This includes the management of incidents and complaints, audit activities, an annual resident/family survey, monitoring of outcomes, clinical incidents including restraint minimisation and safe practice. Infection control and health and safety are closely linked with the quality and risk programme. The administrator for the organisation is the health and safety representative and the senior RN/acting clinical manager is the infection control coordinator.</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more than adequate reporting systems and discussion occurs on quality matters. Head of department (HOD) meetings occur weekly. Care home staff meet two monthly, health and safety quarterly, residents quarterly (plus an annual general meeting (AGM) is held in September) nursing staff fortnightly, clinical manager and food service manager fortnightly and the clinical manager and activities fortnightly. Minutes of meetings were sighted. Meetings have set agendas and provided evidence that all clinical indicators are discussed. Relevant corrective actions are developed and implemented to address any shortfall and demonstrated a continuous process of quality improvement is occurring. Staff interviewed reported their involvement in quality and risk management activities through the internal audit activities that they are involved with each month or as required.</w:t>
            </w:r>
          </w:p>
          <w:p w:rsidR="00EB7645" w:rsidRPr="00BE00C7" w:rsidP="00BE00C7">
            <w:pPr>
              <w:pStyle w:val="OutcomeDescription"/>
              <w:spacing w:before="120" w:after="120"/>
              <w:rPr>
                <w:rFonts w:cs="Arial"/>
                <w:b w:val="0"/>
                <w:lang w:eastAsia="en-NZ"/>
              </w:rPr>
            </w:pPr>
            <w:r w:rsidRPr="00BE00C7">
              <w:rPr>
                <w:rFonts w:cs="Arial"/>
                <w:b w:val="0"/>
                <w:lang w:eastAsia="en-NZ"/>
              </w:rPr>
              <w:t>Remuera Rise Limited has reviewed and implemented all required policies and procedures. There is a registered care management consultant who is contracted and responsible for the quality management and assists with regular review of the organisation’s processes in accordance with industry evidenced based practice. Any obsolete documents are stored on-site appropriately in a locked archive room. An archive system is currently being reviewed and records can be retrieved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understood and provided evidence of the hazard register which is maintained and showed consistent review and updating of any risks, risk plans and addition of any new risks identified. The hazard register was reviewed in April 2019 and this will be reviewed again in March 2020. The hazard and risk register is maintained electronically. The health and safety representative understood the requirements of the Health and Safety at Work Act (2015) and has implemented the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events and near miss events on an accident/incident form. A sample of incident forms reviewed showed these were fully completed, incidents were investigated, action plans were developed, and actions were followed-up in a timely manner. Adverse event data is collated (adverse events log is maintained) analysed and reported to the village manager/staff. Meeting minutes showed discussion in relation to outcomes of any trends identified, action plans and improvements made. Comparisons with previous months and the previous year are used to identify any improvement. An auditable record was reviewed. This was an area of improvement from the previous audit which has been addressed. Graphs are developed to show comparisons from the previous year, events by type, events per day of the week and events per hour of the day. Infections are monitored in this way as well such as infections by type and infections per day of the week and graphs are used to highlight this.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clearly described essential notification reporting requirements. The village manager who assisted with the audit process stated that no Section 31 forms have been completed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reviewed are in line with good employment practice and relevant legislation. The policies guide staff on all aspects of human resources management and processes. Position descriptions were current and defined key tasks and accountabilities for the various roles. The recruitment process includes reference checks, police vetting and validation for qualifications and practising certificates (APCs) where applicable and required. A sample of staff records reviewed confirmed the organisation policies are being consistently implemented and records are systematically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employee orientation handbook for general staff was reviewed and includes all necessary components relevant to each role. Staff reported that the orientation process prepared them well for their roles and included support from a ‘buddy’ through the initial orientation period. Staff records reviewed showed documentation of completed orientation and an annual appraisal system was set up by management. Staff were able to discuss their educational needs when their individual appraisal was completed.</w:t>
            </w:r>
          </w:p>
          <w:p w:rsidR="00EB7645" w:rsidRPr="00BE00C7" w:rsidP="00BE00C7">
            <w:pPr>
              <w:pStyle w:val="OutcomeDescription"/>
              <w:spacing w:before="120" w:after="120"/>
              <w:rPr>
                <w:rFonts w:cs="Arial"/>
                <w:b w:val="0"/>
                <w:lang w:eastAsia="en-NZ"/>
              </w:rPr>
            </w:pPr>
            <w:r w:rsidRPr="00BE00C7">
              <w:rPr>
                <w:rFonts w:cs="Arial"/>
                <w:b w:val="0"/>
                <w:lang w:eastAsia="en-NZ"/>
              </w:rPr>
              <w:t>Ongoing education is planned two yearly for contractual obligations and annually for other topics. All mandatory training is included. All five healthcare assistants (HCAs) have completed level four of a New Zealand Qualifications Authority education programme to meet the requirements for the provider’s agreement with the DHB.  The activities coordinator was a registered nurse (without an APC) and a senior HCA prior to taking on the role of activities coordinator but has not completed Level 4 (diversional therapy) training (refer to 1.3.7).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pack is available for when the service uses bureau staff. The service arranges with the bureau to have the same staff back when possible as they are familiar with the routines and the residents and this system works well. Currently two of four registered nurses, one of whom is the acting clinical manager, are interRAI competent. One registered nurse is enrolled to commence the interRAI training during the first week of October 2019. A further RN has recently been employed who will commence beginning of November who is already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staffing levels and skill mix which describes the rationale for staffing this facility to provide safe service delivery. The facility adjusts staffing levels to meet the changing needs of residents. The minimum number is on the nightshift with one registered nurse and one healthcare assistant. The clinical manager is on call seven days a week. Staff reported access to advice is available when needed. Healthcare assistants interviewed stated that adequate staff were available and that they were able to complete the work allocated to them. This was further supported by residents and family interviewed. Observations and review of a six week roster cycle sample during the audit confirmed adequate cover has been provided.  The clinical manager is able to increase staffing if the acuity of residents changes. Currently all 12 residents are hospital level care. There are seven RNs on the ‘casual list’ and two HCAs if needed. The service employs bureau staff if and when required. There is always a staff member on duty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the audit. The staff observed demonstrated good knowledge and had a clear understanding of their roles and responsibilities related to each stage of medicine management. All staff who administer or check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fortnightly to the facility in a pre-packaged format from the contracted pharmacy. An RN checks the medications against the prescription on arrival. All medications sighted were within current use by dates. A small amount of impress medicines is available on site for hospital level care residents. All residents currently are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and checks occur weekly by two staff for accuracy and balances. The controlled drug register is maintained. The contracted pharmacist completes a medication audit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within the normal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dates recorded when medications are discontinued and the requirements for pro re nata (PRN) medicines were met for all 12 residents’ medication records reviewed. The required three monthly GP medication review was consistently recorded on the electronic medication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medications at the time of audit. Processes are in place should this occur.</w:t>
            </w:r>
          </w:p>
          <w:p w:rsidR="00EB7645" w:rsidRPr="00BE00C7" w:rsidP="00BE00C7">
            <w:pPr>
              <w:pStyle w:val="OutcomeDescription"/>
              <w:spacing w:before="120" w:after="120"/>
              <w:rPr>
                <w:rFonts w:cs="Arial"/>
                <w:b w:val="0"/>
                <w:lang w:eastAsia="en-NZ"/>
              </w:rPr>
            </w:pPr>
            <w:r w:rsidRPr="00BE00C7">
              <w:rPr>
                <w:rFonts w:cs="Arial"/>
                <w:b w:val="0"/>
                <w:lang w:eastAsia="en-NZ"/>
              </w:rPr>
              <w:t>Documentation identified that residents and family members are informed of proposed or actual changes in medicines including the commencement of short course treatment for infections or other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reporting and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chef and kitchen assistants. The four weekly menu plans were sighted and menus are in line with recognised nutritional guidelines for older people. The food is delivered to the main dining room from the kitchen and served to the residents. The menu is discussed daily with the clinical manager in case any changes need to be made due to acuity of residents or any other changes in health status of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has recently been audited for the food control plan on the 15 August 2019 and the verification letter was available and reviewed. The service is awaiting the actual certificate to display. Food temperatures, including high risk items are monitored appropriately and recorded as part of the daily foodservices duties. The chef and kitchen assistants have completed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this facility and a dietary profile is developed. The personal preferences or any special diets or modified textures are recorded. These profiles are provided to the chef and accommodated in the daily menu planning. The plans are revisited as the care needs of the residents’ change. A master list of all residents’ food preferences (including dislikes) and dietary needs is displayed in the kitchen/café.</w:t>
            </w:r>
          </w:p>
          <w:p w:rsidR="00EB7645" w:rsidRPr="00BE00C7" w:rsidP="00BE00C7">
            <w:pPr>
              <w:pStyle w:val="OutcomeDescription"/>
              <w:spacing w:before="120" w:after="120"/>
              <w:rPr>
                <w:rFonts w:cs="Arial"/>
                <w:b w:val="0"/>
                <w:lang w:eastAsia="en-NZ"/>
              </w:rPr>
            </w:pPr>
            <w:r w:rsidRPr="00BE00C7">
              <w:rPr>
                <w:rFonts w:cs="Arial"/>
                <w:b w:val="0"/>
                <w:lang w:eastAsia="en-NZ"/>
              </w:rPr>
              <w:t>Any nutritional supplements are recorded on the medicine records and signed when given</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assisted by staff with their meals and beverages as required in an unhurried and respectful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that communication and care provided is ‘excellent’. Care staff confirmed that care was provided as outlined in the documentation. A range of equipment and clinical resources was available for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A physiotherapist visits regularly and is involved with developing rehabilitation plans for applicable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works three hours a day Monday to Friday and has worked permanently in this role for two years. Resources are provided for the weekends and care staff are able to provide some planned activities for residents over this time. The activities coordinator meets with other diversional therapists and coordinators in the region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individually and as a group. The resident’s activity needs are evaluated monthly and as part of the formal six-monthly care plan review. Records of participation are maintained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provided reflected residents’ goals, ordinary patterns of life and included normal community activities. Individual and group activities and regular events are offered. Residents and family are involved in evaluating and improving the programme thorough residents’ meetings and day to day discussions. Village residents are invited to join in some of the activities if they wish. Residents interviewed confirmed they find the programme interactive and stimulating. Participation is voluntary. Activities included art work, craft, exercises, board games, quizzes, pet visits and music. ‘Happy hour’ occurs weekly and special days and birthdays are celebrated. Church services are held on site. The activities programme is displayed, and a copy is provided to all residents. Staff assisted residents to attend activities as necessary. All residents and family members interviewed were satisfied with the activities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 HCA notes any changes in a resident’s condition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six monthly in conjunction with the six monthly interRAI re-assessments or as the needs of a resident change. Where progress is different from expected the service responds by initiating changes to the plan of care. Examples of short term care plans being consistently reviewed and progress evaluated as clinically indicated were noted for infections, exacerbation of respiratory function, episodes of pain, weight loss, skin tears, or wounds. Neurological assessments are undertaken for at least 12 hours for residents following unwitnessed falls or where an injury to the head may have occurred. Bowel charts and fluid balance charts are maintained where indicated. When necessary and for unresolved problems, long term care plans are added to or updated. Resident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31July 2020. The building warrant of fitness is displayed in the entrance to the village and care home. There have been no changes to the physical environment and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 skin, wound, eye, gastro-enteritis and other infections. The infection prevention and control (IPC) coordinator is the acting clinical manager who reviews all reported infections. The infection control nurse on duty is responsible for documenting the infections as they occur in the infections log maintained electronically. New infections and any required management is discussed at handover between the shifts to ensure early and appropriate interventions occurs. Short term care plans are developed and evaluated regularly until the infection has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The graphs are provided for staff to view. Comparisons with the previous year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outbreaks of infection have occurred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provided guidance on the safe use of both restraints and enablers. The restraint coordinator, a registered nurse, provides support and oversight for enabler and restraint management in the facility. The coordinator demonstrated a sound knowledge of the organisation’s policies and procedures and responsibilities are known and understood for this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enablers and no restraints were in use.</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The staff interviewed understood that an enabler is to be the least restrictive option and used voluntarily at the resident’s request.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Remuera Rise Limited - Remuera Rise</w:t>
    </w:r>
    <w:bookmarkEnd w:id="58"/>
    <w:r>
      <w:rPr>
        <w:rFonts w:cs="Arial"/>
        <w:sz w:val="16"/>
        <w:szCs w:val="20"/>
      </w:rPr>
      <w:tab/>
      <w:t xml:space="preserve">Date of Audit: </w:t>
    </w:r>
    <w:bookmarkStart w:id="59" w:name="AuditStartDate1"/>
    <w:r>
      <w:rPr>
        <w:rFonts w:cs="Arial"/>
        <w:sz w:val="16"/>
        <w:szCs w:val="20"/>
      </w:rPr>
      <w:t>26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