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Highview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Highview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August 2019</w:t>
      </w:r>
      <w:bookmarkEnd w:id="7"/>
      <w:r w:rsidRPr="009418D4">
        <w:rPr>
          <w:rFonts w:cs="Arial"/>
        </w:rPr>
        <w:tab/>
        <w:t xml:space="preserve">End date: </w:t>
      </w:r>
      <w:bookmarkStart w:id="8" w:name="AuditEndDate"/>
      <w:r w:rsidR="00A4268A">
        <w:rPr>
          <w:rFonts w:cs="Arial"/>
        </w:rPr>
        <w:t>20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Highview Rest Home provides rest home and hospital (medical and geriatric) level care services for up to 41 residents.  On the day of audit there were 40 residents.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a general practitioner, relatives, staff and management. </w:t>
      </w:r>
    </w:p>
    <w:p w:rsidRPr="00A4268A">
      <w:pPr>
        <w:spacing w:before="240" w:line="276" w:lineRule="auto"/>
        <w:rPr>
          <w:rFonts w:eastAsia="Calibri"/>
        </w:rPr>
      </w:pPr>
      <w:r w:rsidRPr="00A4268A">
        <w:rPr>
          <w:rFonts w:eastAsia="Calibri"/>
        </w:rPr>
        <w:t>The manager (registered nurse) has been in the role since January 2019 and is supported by an experienced clinical manager who has been in the role since November 2018.  They are supported by registered nurses and healthcare assistants.  The service has implemented a quality and risk management system and quality initiatives are identified.  Residents and relatives interviewed spoke positively about the care and support provided.</w:t>
      </w:r>
    </w:p>
    <w:p w:rsidRPr="00A4268A">
      <w:pPr>
        <w:spacing w:before="240" w:line="276" w:lineRule="auto"/>
        <w:rPr>
          <w:rFonts w:eastAsia="Calibri"/>
        </w:rPr>
      </w:pPr>
      <w:r w:rsidRPr="00A4268A">
        <w:rPr>
          <w:rFonts w:eastAsia="Calibri"/>
        </w:rPr>
        <w:t>Improvements are required around complaint management, first aid training and staffing, interRAI timeframes, wound care documentation, menu reviews, review of restraint, and call bell availability in a shared room.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and processes are implemented to support residents’ rights.  The cultural and spiritual needs of residents are being met by the service.  Families are kept informed of any changes to the status of the resident.  Information on informed consent is included in the admission agreement and discussed with residents and relatives.  Residents and families are made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and goals that are reviewed.  Quality activities are conducted.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Input from residents and families are regularly sought.  An education and training programme is implemented.  Appropriate employment processes are adhered to and employees have a staff appraisal completed on an annual basis.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 package for residents/relatives on admission to the service.  The registered nurses complete interRAI assessments, and care planning.  Care plans demonstrate service integration.  Care plans were updated for changes in health status and reviewed at least six monthly. </w:t>
      </w:r>
    </w:p>
    <w:p w:rsidRPr="00A4268A" w:rsidP="00621629">
      <w:pPr>
        <w:spacing w:before="240" w:line="276" w:lineRule="auto"/>
        <w:rPr>
          <w:rFonts w:eastAsia="Calibri"/>
        </w:rPr>
      </w:pPr>
      <w:r w:rsidRPr="00A4268A">
        <w:rPr>
          <w:rFonts w:eastAsia="Calibri"/>
        </w:rPr>
        <w:t xml:space="preserve">The activity programmes meet the abilities and needs of residents.  There is provision for group and individual one-on-one activities.  The activity programmes meet the abilities and recreational needs of the groups of residents.  Residents interviewed spoke positively around activities.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the electronic medicine charts at least three-monthly.  </w:t>
      </w:r>
    </w:p>
    <w:p w:rsidRPr="00A4268A" w:rsidP="00621629">
      <w:pPr>
        <w:spacing w:before="240" w:line="276" w:lineRule="auto"/>
        <w:rPr>
          <w:rFonts w:eastAsia="Calibri"/>
        </w:rPr>
      </w:pPr>
      <w:r w:rsidRPr="00A4268A">
        <w:rPr>
          <w:rFonts w:eastAsia="Calibri"/>
        </w:rPr>
        <w:t>All meals and baking are cooked on site.  Individual and special diets are accommodated.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Highview Rest Home has a current building warrant of fitness.  Reactive and preventative maintenance is carried out.  Medical equipment and electrical appliances have been calibrated.  Emergency management systems are being implemented.  </w:t>
      </w:r>
    </w:p>
    <w:p w:rsidRPr="00A4268A">
      <w:pPr>
        <w:spacing w:before="240" w:line="276" w:lineRule="auto"/>
        <w:rPr>
          <w:rFonts w:eastAsia="Calibri"/>
        </w:rPr>
      </w:pPr>
      <w:r w:rsidRPr="00A4268A">
        <w:rPr>
          <w:rFonts w:eastAsia="Calibri"/>
        </w:rPr>
        <w:t xml:space="preserve">Resident rooms and bathroom facilities are spacious.  There is plenty of natural light in all rooms and the environment is comfortable with adequate ventilation and heating.  All communal areas within the facility are easily accessible.  There is sufficient space to allow the movement of residents around the facility using mobility aids.  </w:t>
      </w:r>
    </w:p>
    <w:p w:rsidRPr="00A4268A">
      <w:pPr>
        <w:spacing w:before="240" w:line="276" w:lineRule="auto"/>
        <w:rPr>
          <w:rFonts w:eastAsia="Calibri"/>
        </w:rPr>
      </w:pPr>
      <w:r w:rsidRPr="00A4268A">
        <w:rPr>
          <w:rFonts w:eastAsia="Calibri"/>
        </w:rPr>
        <w:t xml:space="preserve">There is a designated laundry at the site, which includes the safe storage of cleaning and laundry chemicals.  There is a documented process for waste management.  </w:t>
      </w:r>
    </w:p>
    <w:p w:rsidRPr="00A4268A">
      <w:pPr>
        <w:spacing w:before="240" w:line="276" w:lineRule="auto"/>
        <w:rPr>
          <w:rFonts w:eastAsia="Calibri"/>
        </w:rPr>
      </w:pPr>
      <w:r w:rsidRPr="00A4268A">
        <w:rPr>
          <w:rFonts w:eastAsia="Calibri"/>
        </w:rPr>
        <w:t xml:space="preserve">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The manager is the designated restraint coordinator.  On the day of audit, there were two residents using a restraint and two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(clinical manager) is responsible for coordinating and providing education and training for staff.  The infection control coordinator has attended external training.  The infection control manual outlined the scope of the programme and included a range of policies and guidelines.  Surveillance data is collected and collated.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A recent outbreak in July was well documented and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0"/>
        <w:gridCol w:w="1280"/>
        <w:gridCol w:w="94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policy and procedure is being implemented.  Discussions with management (manager/registered nurse (RN) and clinical manager/RN) and staff (two healthcare assistants, two registered nurses, one diversional therapist, one cook, one maintenance) confirmed their familiarity with the Code and its application to their job role and responsibilities.  Interviews with six residents (five rest home and one hospital) and four families (three rest home and one hospital)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written consents are obtained on admission.  Specific consents are obtained for specific procedures such as influenza vaccine.  Six long-term resident files contained signed consents and admission agreements (one resident had just been admitted to the service).  All residents (where appropriate) have signed their resuscitation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healthcare assistants (HCAs) interviewed demonstrated a good understanding in relation to informed consent and informed consent processes.  Residents interviewed confirmed they have been made aware of and fully understand informed consent processes and that appropriate information had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at the entrance on a noticeboard and includes advocacy contact details.  The information pack provided to residents at the time of entry to the service also provides residents and family/whānau with advocacy information.  Advocacy support is available if requested.  Interviews with residents and families identified that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Information about complaints is provided in the entry pack of information presented to prospective residents and families.  Interviews with residents and families demonstrated their understanding of the complaints process.  They confirmed that issues are addressed promptly, and that they feel comfortable to bring up any concerns.  The complaints process is linked to the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and written complaints are recorded in a complaint register.  There were six complaints logged in the register for 2019 (year to date).  All complaints reflected evidence of being resolved.  Missing in the register was documented evidence that each complaint had followed HDC guidelines to confirm that the complaint was acknowledged and investigated.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and leaflets are available in the foyer of the facility.  The service is able to provide information in different languages and/or in large print if requested.  Information is given to next of kin or enduring power of attorney (EPOA) to read with the resident and discuss.  On entry to the service, the information pack is reviewed in detail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manage/maintain privacy and respect personal property.  All residents interviewed stated their needs in regard to maintaining independence, privacy, dignity and respect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There are two double rooms, one shared by a married couple (double bed) and one room with two single beds shared by two family members (link 1.4.7.5).  Privacy measures are in place in both rooms.</w:t>
            </w:r>
          </w:p>
          <w:p w:rsidR="00EB7645" w:rsidRPr="00BE00C7" w:rsidP="00BE00C7">
            <w:pPr>
              <w:pStyle w:val="OutcomeDescription"/>
              <w:spacing w:before="120" w:after="120"/>
              <w:rPr>
                <w:rFonts w:cs="Arial"/>
                <w:b w:val="0"/>
                <w:lang w:eastAsia="en-NZ"/>
              </w:rPr>
            </w:pPr>
            <w:r w:rsidRPr="00BE00C7">
              <w:rPr>
                <w:rFonts w:cs="Arial"/>
                <w:b w:val="0"/>
                <w:lang w:eastAsia="en-NZ"/>
              </w:rPr>
              <w:t>Training on abuse and neglect begins during staff orientation and continues as a regular in-service topic.  There have been no reported instances of abuse or neglect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being implemented.  Cultural needs are addressed in care plans when identified (there were no residents who identified as Māori at the time of the audit).  Cultural and spiritual practice is supported, and identified needs are incorporated into the care planning process and reviewed as demonstrated in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that the resident and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in place.  The managers supervise staff to ensure professional practice is maintained in the service.  The abuse and neglect policy cover harassment and exploitation.  All residents interviewed reported that staff respected them.  Job descriptions include responsibilities of the position, ethics, advocacy and legal issues.  The employee agreement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Residents interviewed spoke very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recently had a general upgrade in décor and in the residents’ rooms.  Improvements in stock control and the availability of medical, food and continence items has been addressed by the new owners and managers.</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A general practitioner (GP) visits the facility twice per week.  The service receives support from the local district health board (DHB).  Physiotherapy services are available as required.  A podiatrist visits every six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provided.  Accident/incidents and open disclosure processes alert staff of their responsibility to notify family/next of kin of any accident/incident and to ensure full and frank open disclosure occurs.  Ten incident/accident forms reviewed identified that family notification is consistently being documented.  Families interviewed confirmed that they are notified of any changes in their family member’s health status or if there is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required.  Staff and families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Highview Home &amp; Hospital provides care for up to 41 rest home and hospital (geriatric and medical) level care residents.  There are 22 dedicated rest home beds, nine dedicated hospital beds and 10 dual-purpose beds.  At the time of the audit there were 40 residents.  There were 21 rest home residents including two on a long-term services – chronic health care (LTS-CHC) contract (rest home level) and one private paying.  Nineteen hospital residents including one resident on a DHB emergency category funding contract.  The remaining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 registered nurse (RN) with a current practising certificate.  She began her role at Highview in January 2019 and has over 20 years of management experience in aged care and mental health in New Zealand and the UK.  She is supported by a clinical manager/RN who has 25 years of experience in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adopted a quality statement policy, mission, philosophy statement, goals and objectives.  The business plan was last reviewed on 22 May 2019.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undertaken training relating to her management role and plans to complete a minimum of eight hours within her first year of employment at Highview.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manager, the clinical manager is in charge (link 1.2.8.1).  The clinical manager is supported by four permanent nursing staff in her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established.  A system of document control is in place.  Policies were last reviewed in May 2019 and are scheduled to be reviewed again in two years unless changes occur.  The monthly collating and analysis of quality and risk data includes monitoring accidents and incidents and infection rates.  Trends in data are communicated to staff, evidenced in the staff meeting minutes.  Internal audits regularly monitor compliance.  Corrective actions are documented where improvements are required but there was a lack of documented evidence to reflect that corrective actions were communicated to staff.  A resident satisfaction survey was recently completed (10 respondents).  Results were positive.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Health and safety is overseen by the manager and maintenance officer.  Health and safety training begins during staff induction and is discussed in staff meetings.  A health and safety staff meeting took place on Friday 16 August 2019.  The hazard register was reviewed on 23 May 2019.  Staff received manual handling and hoist training by a physiotherapist on 30 April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 registered nurse conducts a clinical follow-up of each adverse event.  The clinical manager investigates accidents and near misses and analyses results.  Ten incident forms reviewed for 2019 demonstrated that an investigation occurred following each incident and that family were informed.  Neurological observations are completed for unwitnessed falls or if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managers confirmed their awareness of the requirement to notify relevant authorities in relation to essential notifications.  This has been completed for RN staffing on the night shifts (link 1.2.8.1).  There has been one recent outbreak.  Public health authorities were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 that relevant checks are completed to validate the individual’s qualifications, experience and veracity.  A copy of practising certificates for health professionals is maintained.  Six staff files were reviewed (four RNs, two healthcare assistants).  The service has implemented an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meets contractual requirements.  External speakers are invited to present (eg, cultural safety by Age Concern, manual handling by physiotherapist, medication training by pharmacy services, fire drill by Safety First).  The registered nurses attend external training including sessions provided by the DHB.  Three of five RNs have completed their interRAI training.  Annual staff appraisals were evident in all staff files reviewed (where applicable).  Missing was evidence of staff CPR/first aid training to indicate that there is a minimum of one trained staff on every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manager/RN and clinical manager/RN both work full time (Monday to Friday) and are available 24/7 for any operational and/or clinical issues.  There is one RN rostered for each shift.  Either the facility manager or clinical manager have been covering the night shift if a staff RN is unavailable, with notification to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downstairs wing there are 27 beds (20 dual-purpose) with 26 residents at the time of the audit (eight rest home residents and eighteen hospital residents).  Two long shift and two short shift healthcare assistants are rostered on the AM and PM shifts.  One healthcare assistant covers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upstairs wing there are 14 beds with 14 rest home residents at the time of the audit.   There are two healthcare assistants (one long and one short shift) on the AM and PM shifts and one healthcare assistant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on the days of the audit were visible and were attending to call bells in a timely manner as confirmed by the residents and families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appropriate to the service type.  Residents entering the service have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were legible, dated and signed by the relevant healthcare assistant or registered nurse,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Highview Rest Home has admission policies and processes in place.  Residents receive an information pack outlining services provided, and entry to the service.  All residents entering the service have been assessed by the needs assessment service coordination team (NASC).  The manager in consultation with the clinical manager screens all potential residents prior to entry.  Residents and relatives interviewed confirmed they received information prior to admission and had the opportunity to discuss the admission agreement with the manager.  Six admission agreements in use align with the requirements of the ARC contract.  One resident was recently admitted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relatives, allied health and the needs assessment team (when appropriate) to ensure continuity of care.  There are documented policies and procedures to ensure exit, discharge or transfer of residents is undertaken in a timely and safe manner.  The yellow envelope system is used for transfers to the public hospital.  A transfer form accompanies residents to receiving facilities (sighted when a resident has been transferred to hospital).  The residents and relatives are involved for all exit or discharges to and from the service.  The clinical manager and RNs interviewed were knowledgeable in the transfer/discharge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current legislation.  All medication is checked on delivery against the electronic medication chart and any pharmacy errors recorded and fed back to the supplying pharmacy.  The service uses a two-weekly robotic roll system.  All medications are stored safely.  All eye drops, and ointments were dated on opening.  The medication fridge is maintained within the acceptable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administer medications downstairs (hospital and rest home residents) and HCAs with medication competencies administer medications upstairs (rest home level only).  Medication education and medication competencies have been completed annually.  Appropriate practice was demonstrated on the witnessed medication arounds.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reviewed met legislative requirements.  All residents had individual medication orders with photo identification and allergy status documented.  Medications had been signed as administered in line with prescription charts.  There were no residents self-medicating on the day of audit.  Standing orders were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small but well-functioning centrally located kitchen.  All meals are cooked on site for the facility.  A food control plan is in place and expires 28 February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served from the kitchen to the adjacent downstairs dining area.  There is a servery upstairs adjacent to the dining room where meals are served to residents.  Meals are delivered to the upstairs servery on trolleys.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made by the RN as part of the assessment process and this includes likes and dislikes.  Nutritional assessments were evident in a folder for kitchen staff to access.  This included consideration of any dietary needs (including cultural needs).  This was reviewed six-monthly as part of the care plan review or sooner if required.  The menu is a four-weekly seasonal menu.  The menu has not yet been reviewed by a registered dietitian.  There was evidence of residents receiving supplements, as prescribed by the GP.  Fridges and freezer temperatures are monitored and recorded daily in the kitchen.  Food in the fridges was covered and dated.  Cleaning schedules are maintained and signed by staff.  There is a kitchen manual and a range of policies and procedures to safely manage the kitchen and meal services.  Special or modified diets were catered for.  Soft and pureed dietary needs were documented in files sampled.  Resident and relatives interviewed were complimentary of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were completed on a six-monthly basis for six of the seven resident files reviewed (one resident was on an exceptional circumstances contract).  The interRAI assessment is reflected in the paper-based care plan templates.  InterRAI assessments and summaries were evident in printed format in all files.  Files reviewed identified that risk assessments have been completed on admission and reviewed six monthly as part of the evaluation and when the residents had a change in condition.  Additional assessments for management of wound care, pressure injury prevention, nutrition, pain, continence, mobility, behaviour and restraint were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developed on admission and provide staff with an overview of the support residents require.  Long-term care plans for residents describe the individual support and interventions required to meet the resident goals.  The long-term care plans reflected the outcomes of risk assessment tools and the interRAI assessment triggers are identified and highlighted in the care plans.  Care plans demonstrated service integration and included input from allied health practitioners such as Hospice.  Additional care plans were added (eg, for residents at risk of pressure injuries with specific pressure prevention cares required).  Short-term care plans were in use for changes in health status.  These are evaluated regularly and either resolved, or if an ongoing problem, added to the long-term care plan.  Residents and relatives interviewed confirmed they participate in the care planning process, doctor reviews, and confirmed care delivery and support by staff is consistent with their expectations.  There was evidence of service integration with documented input from specialist care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alerts the GP.  The resident on the exceptional circumstances contract had an initial assessment and care plan developed with resident-centred goals.  There is evidence that relatives were notified of any changes to resident health including (but not limited to) accident/incidents, infections, health professional visits and changes in medications.  Relative notifications were documented in progress notes and in the family contact sheet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A wound assessment and wound care plan (including dressing type and evaluations on change of dressings) were in place for four superficial wounds.  There was two resolving stage two pressure injuries on the day of audit.  Wound care evaluations did not consistently document the progression and/or deterioration of the wounds.  The wound specialist nurse is available when required and has previously been involved with one of the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continence assessment and continence products used.  Monitoring occurs for blood pressure, weight, vital signs, food and fluids, blood glucose, pain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Highview Rest Home employs an experienced, qualified diversional therapist who works 27.5 hours per week (5.5 hours over five days).  The diversional therapist (DT) has been in the role for 15 years and qualified as a diversional therapist in 2016.  A weekly programme is developed in consultation with residents and reflects their interests and abilities.  The programme is varied and provides group and individual activities to meet the hospital, rest home and younger resident’s recreational preferences and interests.  Residents have an activities assessment completed over the first few weeks after admission, which forms the basis of a diversional therapy plan and is then reviewed on a six-monthly basis.  The resident/family/whānau/EPOA as appropriate, is involved in the development of the activity plan.  Progress notes are maintained on a monthly basis.  A record is kept of individual resident’s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 (but are not limited to); two van rides, a shopping trip and a trip for coffee on a Friday morning are offered each week dependent on resident request.  There are weekly entertainers, group activities including baking and crafts.  A local school visits regularly and the residents join the ‘Octagon group’ and visit a theatre group.  The residents who are under 65 are active within Highview and have jobs like folding laundry, wiping tables and helping out with group activities such as shouting out the Housie numbers (witnessed on the day of the audit).  The current residents decline participation with exercises, instead exercise is included in the walking groups, and group games such as balloon tennis.</w:t>
            </w:r>
          </w:p>
          <w:p w:rsidR="00EB7645" w:rsidRPr="00BE00C7" w:rsidP="00BE00C7">
            <w:pPr>
              <w:pStyle w:val="OutcomeDescription"/>
              <w:spacing w:before="120" w:after="120"/>
              <w:rPr>
                <w:rFonts w:cs="Arial"/>
                <w:b w:val="0"/>
                <w:lang w:eastAsia="en-NZ"/>
              </w:rPr>
            </w:pPr>
            <w:r w:rsidRPr="00BE00C7">
              <w:rPr>
                <w:rFonts w:cs="Arial"/>
                <w:b w:val="0"/>
                <w:lang w:eastAsia="en-NZ"/>
              </w:rPr>
              <w:t>One-on-one contact is made with residents who are unable to or choose not to participate in group activities.  These activities include nail cares, facials, the DT has a chat with the resident, and reading books.  The DT describes catching up with groups of residents to discuss activities they would like to do; this is held outside of the three-monthly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are happy with the current activities and feel able to suggest activities they would like to do.  Relatives could freely describe a range of activities they have witnessed while visiting.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RNs six monthly, or when changes to care occurred.  Evaluations are conducted by the RNs with input from the diversional therapist and GP.  Relatives are notified of any changes in the resident's condition, as evidenced in sampled resident files and confirmed in relative interviews. Short-term care plan evaluations are completed regularly.  Progress notes are documented each shift and evidenced regular RN reviews related to care plan goals.  There is a three-monthly clinical review by the medical practitioner or sooner if needs change.  Residents and relatives interviewed, confirmed their participation in care plan evaluations and this was evidenced in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There is documented evidence of referrals to a wound nurse specialist, hospice services, podiatrist, physiotherapist, dietitian, mental health services for older people and the needs assessment service coordination centre as required.  There are documented policies and procedures in relation to exit, transfer or transition of residents.  The residents and the relatives are kept informed of the referrals made by Highview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 place, to ensure incidents are reported in a timely manner.  Safety datasheets were readily accessible for staff.  Chemicals were stored safely throughout the facility.  Relevant staff have completed chemical safety training.  Personal protective clothing was available for staff and was seen to be worn by staff when carrying out their duties on the day of audit.  Staff interviewed indicated a clear understanding of processes and protocols.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20 December 2019.  Hot water temperatures are checked monthly.  Medical equipment and electrical appliances have been tested and tagged and calibrated.  Essential contractors are available 24-hours.  The maintenance manager discussed the planned schedule to maintain regular and reactive maintenance.  Fire equipment is checked by an external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mobilise safely within the facilities.  There are sufficient seating areas throughout the facilities.  There have been refurbishments made to the main entrance and hallway, with further renovations planned.  There is safe wheelchair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exterior has been well maintained with safe paving, outdoor shaded seating, lawn and gardens.  There is a designated smoking area in the garden.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confirmed there was adequate equipment to carry out the cares according to the resident needs and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hand-washing facilities.  There are sufficient communal toilets and showers to meet resident requirements.  All communal toilets and bathrooms have appropriate signage and locks on the doors.  Fixtures, fittings and flooring is appropriate.  Communal, visitor and staff toilets are clearly identifiable, equipped with locks and flowing soap and paper towels.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spacious enough to allow residents to move about the furnishings with mobility aids, wheelchairs and standing or lifting hoist.  Residents and relatives are encouraged to personalise their rooms as viewed on the day of audit.  Residents were observed safely moving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Highview Rest Home has a large lounge and dining room area downstairs and another combined smaller one upstairs.  A separate small quiet lounge is also available downstairs.  Residents were able to move freely with mobility aids.  Activities occur throughout the facility and residents interviewed stated they were able to use alternative communal areas if they did not wish to participate in communal activities being held in one of these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Highview Rest Home has policies and procedures in place for laundry and cleaning services.  Product information and safety datasheets are available for all chemicals in use.  All chemicals were securely stored.  Staff receive training at orientation and through the in-service programme.  All chemicals were clearly labelled.  Protective personal equipment was available in the sluice and laundry.  The laundry area is located outside behind the building and not accessible to residents, with two commercial washing machines and two commercial dryers.  All linen and personal laundry is laundered on site by the cleaning staff and HCAs.  There are colour coded linen bags and all linen and personal clothing items are sorted prior to washing.  Residents and relatives reported satisfaction with the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Civil defence supplies, adequate food and water, and a gas barbeque for alternative cooking are available.  In the event of a power cut, there is emergency lighting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fire evacuations are held.  There is an approved fire evacuation plan.  There have been no building changes since the previous audit that would require a new fire evacuation plan.  The manager reported that there is a first aider on duty at all times, but the auditor was unable to evidence the documentation to verify this (link 1.2.7.5).  Residents’ rooms and communal areas have call bells, but one double room (with two single beds) only has one call bell installed next to one of the beds.  </w:t>
            </w:r>
          </w:p>
          <w:p w:rsidR="00EB7645" w:rsidRPr="00BE00C7" w:rsidP="00BE00C7">
            <w:pPr>
              <w:pStyle w:val="OutcomeDescription"/>
              <w:spacing w:before="120" w:after="120"/>
              <w:rPr>
                <w:rFonts w:cs="Arial"/>
                <w:b w:val="0"/>
                <w:lang w:eastAsia="en-NZ"/>
              </w:rPr>
            </w:pPr>
            <w:r w:rsidRPr="00BE00C7">
              <w:rPr>
                <w:rFonts w:cs="Arial"/>
                <w:b w:val="0"/>
                <w:lang w:eastAsia="en-NZ"/>
              </w:rPr>
              <w:t>Security policies and procedures are documented and implemented by staff.  There is security lighting at night and access to the building is by call bell and intercom.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living areas are heated via large heat pumps and resident rooms are appropriately heated with individual heaters.  All resident rooms have external windows and are well ventilated.  The facility has plenty of natural light.  All residents interviewed, stated they were happy with the temperature of the facility.  Smoking is only allowed outside in designated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The clinical manager is the designated infection control coordinator.  Education is provided for all new staff on orientation.  The infection control programme has been reviewed annually.  Visitors are asked not to visit if they have been unwell.  There are hand sanitisers throughout the facility and adequate supplies of personal protective equipment.  A recent influenza outbreak in July 2019 was reported to public health and was well managed and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(clinical manager).  The infection control coordinator has maintained current knowledge of infection prevention and control.  The infection control coordinator has access to infection control personnel within the district health board, laboratory services and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the infection control programme, responsibilities and oversight, training and education of staff.  The policies have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Staff receive education on orientation and one-on-one training as required.  Visitors are advised of any outbreaks of infection and are advised not to attend until the outbreak has been resolved.  Information is provided to visitors that is appropriate to their needs.  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appropriate to the size and complexity of Highview Rest Home.  Monthly infection data is collected for all infections based on signs and symptoms of infections.  Effective monitoring is the responsibility of the infection control coordinator.  This includes audits of the facility, hand hygiene and surveillance of infection control events and infections.  Surveillance data is available to all staff.  Corrective actions are established where trends are identified, if there is an emergent issue, it is acted upon in a timely manner.  All infections are entered into the electronic data system monthly and analysed for trends.  The electronic system produces graphs, which are discussed at meetings.  Short-term care plans were in place for current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two hospital level residents with restraint (bedrails) and two hospital level residents with an enabler (bedrails).  The manager is the designated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One enabler file was reviewed.  An assessment for the use of the enabler had been completed and evidence was sighted of voluntary consent by the resident for its use.  The enabler was linked to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Staff education on RMSP/enablers was last provided on 16 August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and consent processes for restraint use includes the restraint coordinator, registered nurses, resident 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an assessment for residents who require restraint or enabler interventions.  These were undertaken by RN staff in partnership with the family/whānau.  Two files were reviewed of residents using restraint.  The restraint coordinator, the resident’s family/EPOA and the GP were involved in the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sighted in the two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monitoring was evidenced on the monitoring forms for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providing an auditable record of restraint use and is completed for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In the files reviewed, three-monthly evaluations were missing.  Any adverse outcomes resulting from the use of restraint would be reported via the adverse event reporting process.  None were identified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(manager) confirmed that the service plans to review the restraint programme, including staff education and restraint policies and procedures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4"/>
        <w:gridCol w:w="1280"/>
        <w:gridCol w:w="4425"/>
        <w:gridCol w:w="4327"/>
        <w:gridCol w:w="14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being maintained but did not include adequate detail to address acknowledgement of the complaint, an investigation (if required) and informing the complainant of the outcome, although all complaints were documented as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for 2019 (year to date) failed to include all actions taken (eg, acknowledgement of the complaint, investigation of the complaint).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includes not only the complaint and evidence it is resolved, but all dates and actions taken.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regularly collected with trends in data identified by the clinical manager.  Staff meeting minutes sighted reflected evidence that results were communicated to staff, but corrective actions required (eg, resulting from internal audits) were missing in the meeting minutes.  Annual resident surveys are completed with the most recent survey taking place last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failed to reflect evidence of informing staff of the corrective actions that were developed resulting from internal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regarding corrective actions where opportunities for improvement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plan for staff is being implemented.  Missing was documented evidence to verify that there is a minimum of one staff on every shift trained in first aid and CPR.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stated that there is a minimum of one staff trained in first aid and CPR on every shift, but staff files were removed when the previous owners left, and the auditor was unable to verify this in writing.  The manager stated that first aid/CPR training is scheduled for later in the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documented evidence to indicate that there is one staff member available 24/7 with a current first aid/CPR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having difficulty recruiting a full-time RN for the night shift.  Either the manager or clinical manager are assisting with the night shifts until another RN is employed to work the night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manager/RN or clinical manager/RN cover the night shift if a staff RN is unavailable.  Each time this occurs, a section 31 report is completed.  Six section 31 reports were completed in April, and six in June and ten in July.  The facility manager was recently on leave for 10 days and the clinical manager was needed to work the night shift over this time leaving no management staff available during the daytime hours.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adequate staffing is available to cover both clinical and managerial duties.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no dietitian input since Highview started providing their own meals.  There are residents on puree diets.  There was no evidence of nutritional guidelines for residents on special diets.  The menu has been accessed from another rest home.  Residents were complimentary of the food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menu Highview are using has not been reviewed by a dietitian since the service started making their own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menu is reviewed by a dietitian to ensure all nutritional guidelines are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and risk assessments are completed at six-month intervals and when there is a change in resident condition.  All six long-term residents including the under 65 residents have interRAI assessments completed and re-assessed at six monthly intervals, however, not all interRAI assessments were completed within 21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long-term residents did not have interRAI assessments completed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completed within 21 days of admission to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individual wound assessments and plans for current wounds.  The assessments are fully completed to include site, type of wound and measurements of the wound, some wound charts have a drawing indicating where the wounds are sited.  The management plans include the type of dressing and the frequency of the dressing changes, however, not all evaluations demonstrated progression or deterioration of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wound care evaluations do not demonstrate progression or deterioration of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wound care evaluations demonstrate progression or deterioration of wounds.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system is inadequate in one shared room with two single beds.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shared room with two single beds has only one call bell accessible, next to one of the two beds.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call system is available to both residents sharing a double room.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2.2.4.2</w:t>
            </w:r>
          </w:p>
          <w:p w:rsidR="00EB7645" w:rsidRPr="00BE00C7" w:rsidP="00BE00C7">
            <w:pPr>
              <w:pStyle w:val="OutcomeDescription"/>
              <w:spacing w:before="120" w:after="120"/>
              <w:rPr>
                <w:rFonts w:cs="Arial"/>
                <w:b w:val="0"/>
                <w:lang w:eastAsia="en-NZ"/>
              </w:rPr>
            </w:pPr>
            <w:r w:rsidRPr="00BE00C7">
              <w:rPr>
                <w:rFonts w:cs="Arial"/>
                <w:b w:val="0"/>
                <w:lang w:eastAsia="en-NZ"/>
              </w:rPr>
              <w:t>Where an episode of restraint is ongoing the time intervals between evaluation processes should be determined by the nature and risk of the restraint being used and the needs of the consumers and/or family/whānau.</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policy and interview with the restraint coordinator (manager), restraint reviews are scheduled three-monthly.  Both files reviewed of residents using restraint failed to reflect evidence of three-monthly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three-monthly reviews were missing in both residents’ files of residents using bedrails as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minimisation policy is followed to meet the frequency of three-monthly reviews for residents using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Highview Home &amp; Hospital</w:t>
    </w:r>
    <w:bookmarkEnd w:id="58"/>
    <w:r>
      <w:rPr>
        <w:rFonts w:cs="Arial"/>
        <w:sz w:val="16"/>
        <w:szCs w:val="20"/>
      </w:rPr>
      <w:tab/>
      <w:t xml:space="preserve">Date of Audit: </w:t>
    </w:r>
    <w:bookmarkStart w:id="59" w:name="AuditStartDate1"/>
    <w:r>
      <w:rPr>
        <w:rFonts w:cs="Arial"/>
        <w:sz w:val="16"/>
        <w:szCs w:val="20"/>
      </w:rPr>
      <w:t>19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