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Trinity Home and Hospital Limited - Trinity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Trinity Home and Hospital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Trinity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August 2019</w:t>
      </w:r>
      <w:bookmarkEnd w:id="7"/>
      <w:r w:rsidRPr="009418D4">
        <w:rPr>
          <w:rFonts w:cs="Arial"/>
        </w:rPr>
        <w:tab/>
        <w:t xml:space="preserve">End date: </w:t>
      </w:r>
      <w:bookmarkStart w:id="8" w:name="AuditEndDate"/>
      <w:r w:rsidR="00A4268A">
        <w:rPr>
          <w:rFonts w:cs="Arial"/>
        </w:rPr>
        <w:t>30 August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Trinity Home and Hospital Ltd (Trinity) is owned by a charitable trust and managed by a board of directors at governance level. A general manager (GA) is responsible for the management of the facility and is supported by a clinical manager, clinical lead and resource manager. The service provides rest home, hospital medical and geriatric and secure dementia care services for up to 78 residents. Residents and families spoke positively about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management, staff, contracted allied health providers and a general practitioner.</w:t>
      </w:r>
    </w:p>
    <w:p w:rsidRPr="00A4268A">
      <w:pPr>
        <w:spacing w:before="240" w:line="276" w:lineRule="auto"/>
        <w:rPr>
          <w:rFonts w:eastAsia="Calibri"/>
        </w:rPr>
      </w:pPr>
      <w:r w:rsidRPr="00A4268A">
        <w:rPr>
          <w:rFonts w:eastAsia="Calibri"/>
        </w:rPr>
        <w:t>Areas identified as requiring improvement relate to quality improvement, first aid certificates and medication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is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The Trinity board is the governing body and is responsible for the service provided at this facility.</w:t>
      </w:r>
    </w:p>
    <w:p w:rsidRPr="00A4268A">
      <w:pPr>
        <w:spacing w:before="240" w:line="276" w:lineRule="auto"/>
        <w:rPr>
          <w:rFonts w:eastAsia="Calibri"/>
        </w:rPr>
      </w:pPr>
      <w:r w:rsidRPr="00A4268A">
        <w:rPr>
          <w:rFonts w:eastAsia="Calibri"/>
        </w:rPr>
        <w:t xml:space="preserve">Business,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are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Residents’ information is accurately recorded, securely stored and not accessible to unauthorised people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 Medication reviews are conducted by the GP three monthly or if required.</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 Snacks are available if needed on a 24-hour period.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is clean and well maintained. There is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Three enablers and two restraints were in use at the time of audit.  A comprehensive assessment, approval and monitoring process with regular reviews occurs.  Use of enablers is voluntary in response to individual requests. Staff demonstrated a sound knowledge and understanding of the restraint and enabler processes. There is environmental restraint in the dementia unit and residents were able to freely go in and out of the unit into the surrounding secure garden.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 trained infection control nurse,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29"/>
        <w:gridCol w:w="1280"/>
        <w:gridCol w:w="86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Trinity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understood the principles and practice of informed consent. Informed consent policies provide relevant guidance to staff. Clinical files reviewed show that informed consent has been gained appropriately using the organisation’s standard consent form.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planning, establishing and documenting enduring power of attorney requirements and processes for residents unable to consent is defined and documented, as relevant, in the resident’s record.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Posters and brochures related to the Advocacy Service were displayed and available in the facility. Family members and residents spoken with were aware of the Advocacy Service, how to access this and their right to have support persons. The Service has arranged for the local advocacy agency to speak to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activities, and entertainment. Links are maintained with the community with the trust providing a day care service for the community.</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three complaints have been received over the past year and that actions taken, through to an agreed resolution, are documented and completed within the timeframes. Action plans show any required follow up and improvements have been made where possible. Apology letters were sighted, there was also evidence of advocacy involvement in complaints records sampled and family notifications.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are a standing agenda item for staff, management and board meetings. The GM is responsible for complaints management and follow up. </w:t>
            </w:r>
          </w:p>
          <w:p w:rsidR="00EB7645" w:rsidRPr="00BE00C7" w:rsidP="00BE00C7">
            <w:pPr>
              <w:pStyle w:val="OutcomeDescription"/>
              <w:spacing w:before="120" w:after="120"/>
              <w:rPr>
                <w:rFonts w:cs="Arial"/>
                <w:b w:val="0"/>
                <w:lang w:eastAsia="en-NZ"/>
              </w:rPr>
            </w:pPr>
            <w:r w:rsidRPr="00BE00C7">
              <w:rPr>
                <w:rFonts w:cs="Arial"/>
                <w:b w:val="0"/>
                <w:lang w:eastAsia="en-NZ"/>
              </w:rPr>
              <w:t>All staff interviewed confirmed a sound understanding of the complaint process and what actions are required. There have been no complaints received from external sources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 being made aware of the Code and the Nationwide Health and Disability Advocacy Service (Advocacy Service) through on site education sessions and discussions with staff. The Code is displayed together with information on advocacy services, how to make a complaint and feedback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maintain privacy throughout the audit. All residents have a private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participation in activities of their choice.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residents who identify as Māori. Staff support residents in the service who identify as Māori to integrate their cultural values and beliefs. The diversional therapist completes a cultural assessment on admission, this links to the residents’ care plan. </w:t>
            </w:r>
          </w:p>
          <w:p w:rsidR="00EB7645" w:rsidRPr="00BE00C7" w:rsidP="00BE00C7">
            <w:pPr>
              <w:pStyle w:val="OutcomeDescription"/>
              <w:spacing w:before="120" w:after="120"/>
              <w:rPr>
                <w:rFonts w:cs="Arial"/>
                <w:b w:val="0"/>
                <w:lang w:eastAsia="en-NZ"/>
              </w:rPr>
            </w:pPr>
            <w:r w:rsidRPr="00BE00C7">
              <w:rPr>
                <w:rFonts w:cs="Arial"/>
                <w:b w:val="0"/>
                <w:lang w:eastAsia="en-NZ"/>
              </w:rPr>
              <w:t>The principles of the Treaty of Waitangi are incorporated into day to day practice, as is the importance of whānau. There is a current Māori health plan developed with input from cultural advisers. Guidance on tikanga best practice is available and is supported by staff who identify as Māori in the facility. Māori residents interviewed reported that staff acknowledge and respect their individual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The resident satisfaction survey and resident meeting minutes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input from external specialist services and allied health professionals, for example, free monthly podiatry treatment and visit to the hairdresser.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the introduction of “bucket list” discussions for all residents, this may include the opportunity for a resident to travel.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although reported this was rarely required due to all residents being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by the board, outline the purpose, values, scope, direction and goals of the organisation. The documents describe annual and longer-term objectives and the associated operational plans. This includes the plan to expand current services including the development of a retirement village located behind the current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monthly reports to the board of directors showed adequate information to monitor performance is reported including financial performance, KPI’s (such as skin tears, falls) and other emerging risks and issues. The GM attends the meetings in the role of secretary.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GM who holds relevant qualifications and has been in the role for 12 years. Responsibilities and accountabilities are defined in a job description and individual employment agreement.  The GM confirms knowledge of the sector, regulatory and reporting requirements and maintains currency through attending liaison meetings with the DHB. The GM is supported by an acting GM who is on a short-term contract to cover the GM’s recent long-term sick leave. The acting GM has the delegated management and clinical responsibilities. The resource manager provides managerial support. Four registered nurses have interRAI competencies.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DHB for rest home, secure dementia, hospital – medical/geriatric and respite care. On the day of audit there were 74 beds occupied consisting of nine rest home, 24 secure dementia, three respite and 38 hospital level residents. There were two residents under the respite contract and one private paying respite care resident at time of audit. There is a total of 19 swing beds that can be used for rest home or hospital level care. An additional four beds are allocated for the dementia care service for respite care if needed. There were no residents under the age of 65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GM is absent, the acting GM carries out all the required duties under delegated authority. The clinical management is overseen by a clinical manager and clinical lead who are experienced in the sector and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management of incidents and complaints, audit activities, a regular patient satisfaction survey, monitoring of outcomes, and clinical incidents including restraint minimization and infection prevention and control. The hazard and risk registers are current.</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board, management team meeting meetings and staff meetings. Staff reported their involvement in quality and risk management activities through assisting with internal audit activities. Relevant corrective actions are developed and implemented to address any shortfalls. A quality improvement register is maintained, this documents the issue identified, action plan and outcomes, however evaluation of improvements made to ensure they are effective is not completed. This is identified as an area requiring improvement.</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satisfaction surveys are completed annually. The most recent survey showed although all residents and family were sent a copy of the survey there is only a small number returned. The staff assist residents to complete the survey when requested. The survey indicated that a number of the residents and family reported missing items of clothing. The facility reported all missing items of clothing are placed in a designated area and family are requested to 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are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The GM described the processes for the identification, monitoring, review and reporting of risks and development of mitigation strategies. The manager is familiar with the Health and Safety at Work Act (2015) and has implemented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at board and staff meetings. Staff meetings sighted show discussion occurs in relation to any trends identified and improvements made.</w:t>
            </w:r>
          </w:p>
          <w:p w:rsidR="00EB7645" w:rsidRPr="00BE00C7" w:rsidP="00BE00C7">
            <w:pPr>
              <w:pStyle w:val="OutcomeDescription"/>
              <w:spacing w:before="120" w:after="120"/>
              <w:rPr>
                <w:rFonts w:cs="Arial"/>
                <w:b w:val="0"/>
                <w:lang w:eastAsia="en-NZ"/>
              </w:rPr>
            </w:pPr>
            <w:r w:rsidRPr="00BE00C7">
              <w:rPr>
                <w:rFonts w:cs="Arial"/>
                <w:b w:val="0"/>
                <w:lang w:eastAsia="en-NZ"/>
              </w:rPr>
              <w:t>The GM described essential notification reporting requirements. One notification made to the coroner’s inquest is closed. The clinical manager reported there have been no significant infections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As part of the pre-audit, feedback was sought from the DHB and no issues were raised.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Staff reported that the orientation process prepared them well for their role and included a “buddy” through the initial orientation period. </w:t>
            </w:r>
          </w:p>
          <w:p w:rsidR="00EB7645" w:rsidRPr="00BE00C7" w:rsidP="00BE00C7">
            <w:pPr>
              <w:pStyle w:val="OutcomeDescription"/>
              <w:spacing w:before="120" w:after="120"/>
              <w:rPr>
                <w:rFonts w:cs="Arial"/>
                <w:b w:val="0"/>
                <w:lang w:eastAsia="en-NZ"/>
              </w:rPr>
            </w:pPr>
            <w:r w:rsidRPr="00BE00C7">
              <w:rPr>
                <w:rFonts w:cs="Arial"/>
                <w:b w:val="0"/>
                <w:lang w:eastAsia="en-NZ"/>
              </w:rPr>
              <w:t>There are eight registered nurses (RN) employed to cover the services. The RN’s have competencies to be completed specifically for their tole including management of nursing care and inter-professional health care. There are four trained and competent registered nurses who are maintaining their annual competency requirements to undertake interRAI assessments</w:t>
            </w:r>
          </w:p>
          <w:p w:rsidR="00EB7645" w:rsidRPr="00BE00C7" w:rsidP="00BE00C7">
            <w:pPr>
              <w:pStyle w:val="OutcomeDescription"/>
              <w:spacing w:before="120" w:after="120"/>
              <w:rPr>
                <w:rFonts w:cs="Arial"/>
                <w:b w:val="0"/>
                <w:lang w:eastAsia="en-NZ"/>
              </w:rPr>
            </w:pPr>
            <w:r w:rsidRPr="00BE00C7">
              <w:rPr>
                <w:rFonts w:cs="Arial"/>
                <w:b w:val="0"/>
                <w:lang w:eastAsia="en-NZ"/>
              </w:rPr>
              <w:t>Care staff have either completed or commenced a New Zealand Qualification Authority education programme to meet the requirements of the provider’s agreement with the DHB. A staff member is the internal assessor for the programme. Staff working in the dementia care area have either completed or are enrolled in the required education.</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that the annual performance appraisal provides an opportunity to discuss individual training needs, supervision requirements and review competencies.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in ensuring that all staff allocated to drive the facility van have current first aid certificates.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facility adjusts staffing levels to meet the changing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Staffing is a combination of management, registered nurses, care givers, administration and household staff. The largest group of employees is care giver staff with a total of 53.</w:t>
            </w:r>
          </w:p>
          <w:p w:rsidR="00EB7645" w:rsidRPr="00BE00C7" w:rsidP="00BE00C7">
            <w:pPr>
              <w:pStyle w:val="OutcomeDescription"/>
              <w:spacing w:before="120" w:after="120"/>
              <w:rPr>
                <w:rFonts w:cs="Arial"/>
                <w:b w:val="0"/>
                <w:lang w:eastAsia="en-NZ"/>
              </w:rPr>
            </w:pPr>
            <w:r w:rsidRPr="00BE00C7">
              <w:rPr>
                <w:rFonts w:cs="Arial"/>
                <w:b w:val="0"/>
                <w:lang w:eastAsia="en-NZ"/>
              </w:rPr>
              <w:t>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a cycle confirmed adequate staff cover has been provided, with staff replaced in any unplanned absence. At least one staff member on duty has a current cardiopulmonary certificate and there is 24 hour/seven days a week (24//7) RN coverage in the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 Staff are required to write a progress note during the shift, with additional entries if there has been a change or specific event.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health board’s Needs Assessment and Service Coordination (NASC) team. Prospective residents and/or their families who visit the facility prior to admission are provided with written information about the service and the admission process.  The service brochure has adequate information on the services provide by the service. The organisation seeks updated information from NASC and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they were satisfied with the admission process and the information that had been made available to them on admission.  Files reviewed contained completed demographic details, assessments and signed admission agreements in accordance with contractual requirements. Service charges comply with contractual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transfer form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Referral records were sighted in sampled files. There is a transfer or discharge policy that guides staff on the management of transfers and discharges. Interviewed family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using an electronic system and paper-based system was observed on the day of audit. The staff observed administering medication demonstrated good knowledge and had a clear understanding of their roles and responsibilities related to each stage of medicine management.  All staff who administer medicines are competent to perform the function they manage.  Current medication administration competencies were sighted in the staff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RNs check medications against the prescription.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There were residents who self-administer medications at the time of audit and appropriate processes are in place to ensure this is managed in a safe manner. Appropriate medication self-administration assessments were completed and reviewed in a timely manner. Medication self-administration policy is in pace to guide staff as required.</w:t>
            </w:r>
          </w:p>
          <w:p w:rsidR="00EB7645" w:rsidRPr="00BE00C7" w:rsidP="00BE00C7">
            <w:pPr>
              <w:pStyle w:val="OutcomeDescription"/>
              <w:spacing w:before="120" w:after="120"/>
              <w:rPr>
                <w:rFonts w:cs="Arial"/>
                <w:b w:val="0"/>
                <w:lang w:eastAsia="en-NZ"/>
              </w:rPr>
            </w:pPr>
            <w:r w:rsidRPr="00BE00C7">
              <w:rPr>
                <w:rFonts w:cs="Arial"/>
                <w:b w:val="0"/>
                <w:lang w:eastAsia="en-NZ"/>
              </w:rPr>
              <w:t>Medication errors are followed up and actions implemented as required.</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to ensure that controlled drugs are recorded accurately, crushed medication is authorised by the GP and prescription of pro renata (PRN) medicines complies with medication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two cooks and kitchen staff and is in line with recognised nutritional guidelines for older people.  The menu follows a six weeks cycle and has been reviewed by a qualified dietitian within the last two years.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control plan. Food temperatures, including for high risk items, are monitored appropriately and recorded as part of the plan. The cooks have completed safe food handling qualifications, with kitchen staff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Nutritional assessments are completed for each resident on admission to the facility and a dietary profile developed.  The personal food preferences, any special diets and modified texture requirements are made known to kitchen staff and accommodated in the daily meal plan.  Residents in the secure dementia unit have access to food and fluids to meet their nutritional needs in a 24-hour period.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Interviewed residents and family reported satisfaction with meals provided. Alternative meals are provided per request by residents. Residents were seen to be given sufficient time to eat their meal in an unhurried fashion and those requiring assistance had this provided. Meals were served in portion sizes required by residents and extra food was provided as requested as observed on the days of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was clean, and pantry had adequate food supplies for emergency situations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referral is received but the consumer does not meet the entry criteria or there is currently no vacancy, the consumer and family are supported to find an alternative appropriate care. The reason for decline is explained to the consumer and/or family. Immediate risk to the consumer and/or family is managed by the organisation where appropriate to ensure safety. Examples of this occurring were discussed with the clinical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pain scale, falls risk, skin integrity, nutritional screening, and services own assessment form as a means to identify any deficits and to inform care planning. Other healthcare providers including the physiotherapist, diversional therapists and caregivers are involved in the assessment process. The sample of care plans reviewed had an integrated range of resident-related information.  All residents have current interRAI assessments completed by the interRAI trained nurses within three weeks of admission. Interviewed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Care plans evidence service integration with progress notes, activities notes, medical and allied health professionals’ notations clearly written, informative and relevant.  Any change in care required is documented and verbally passed on to relevant staff. Residents and families reported participation in the development and ongoing evaluation of care plans.  All reviewed care plans were completed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interviewed GP confirmed that medical input is sought in a timely manner, that medical orders are followed, and care is implemented promptly. Interviewed caregivers confirmed that care was provided as outlined in the documentation and that they have access to residents’ care plans to guide service provision.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two trained diversional therapists holding the national Certificate in Diversional Therapy. There is a weekly planner that is provided to each resident and a monthly planner that is posted on notice boards around the service. Monthly themes and special celebrations are included in the activities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Activities assessments are regularly reviewed to help formulate an activities programme that is meaningful to the residents. The resident’s activity needs are evaluated when there are changes in resident’s ability and as part of the formal six monthly interRAI assessments and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 residents’ goals, ordinary patterns of life and include normal community activities. Individual, group activities and regular events are offered. A Health and Disability Commissioner (HDC) advocate visits once a year and provides one on one talks with residents. Residents and families/whānau are involved in evaluating and improving the programme through residents’ meetings and satisfaction surveys. Residents and family interviewed confirmed they find the programme satisfactory.</w:t>
            </w:r>
          </w:p>
          <w:p w:rsidR="00EB7645" w:rsidRPr="00BE00C7" w:rsidP="00BE00C7">
            <w:pPr>
              <w:pStyle w:val="OutcomeDescription"/>
              <w:spacing w:before="120" w:after="120"/>
              <w:rPr>
                <w:rFonts w:cs="Arial"/>
                <w:b w:val="0"/>
                <w:lang w:eastAsia="en-NZ"/>
              </w:rPr>
            </w:pPr>
            <w:r w:rsidRPr="00BE00C7">
              <w:rPr>
                <w:rFonts w:cs="Arial"/>
                <w:b w:val="0"/>
                <w:lang w:eastAsia="en-NZ"/>
              </w:rPr>
              <w:t>Activities for residents in the secure dementia unit are specific to the needs and abilities of the people living with dementia. Activities are offered at times when residents are most physically active and/or restless.  This includes walks, sing along, van outings, musical DVD’s and one on one conversations.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by the caregivers. If any change is noted, it is reported to the RN. RNs document in the progress notes at least weekly and more frequently as determined by the resident’s condition.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following the six-monthly interRAI reassessment, or as residents’ needs change.   Where progress is different from expected, the service responds by initiating changes to the plan of care. Examples of short-term care plans being consistently reviewed, and progress evaluated as clinically indicated were noted for chest infections, urinary tract infections, weight issues and wounds.  Unresolved short-term problems are added to the long-term care plans for ongoing monitoring. Residents and families/whānau interviewed their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‘house doctor’, residents are given a choice to use another medical practitioner. If the need for other non-urgent services are indicated or requested, the GP or RN sends a referral to seek specialist input.  Copies of referrals were sighted in residents’ files. The resident and the family/whānau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purpose built. A current building warrant of fitness (dated April 2019) is publicly displayed. External areas are safely maintained and are appropriate to the resident groups and setting. Residents in the dementia unit can safely access a secure external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Maintenance is completed in an on-going manner by specialist contractors and on a need to need basis. An inspection of the facility confirmed that all maintenance concerns were being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maintained. The testing and tagging of electrical equipment and calibration of bio medical equipment is current as confirmed in documentation reviewed, interviews with staff and observation of the environment. </w:t>
            </w:r>
          </w:p>
          <w:p w:rsidR="00EB7645" w:rsidRPr="00BE00C7" w:rsidP="00BE00C7">
            <w:pPr>
              <w:pStyle w:val="OutcomeDescription"/>
              <w:spacing w:before="120" w:after="120"/>
              <w:rPr>
                <w:rFonts w:cs="Arial"/>
                <w:b w:val="0"/>
                <w:lang w:eastAsia="en-NZ"/>
              </w:rPr>
            </w:pPr>
            <w:r w:rsidRPr="00BE00C7">
              <w:rPr>
                <w:rFonts w:cs="Arial"/>
                <w:b w:val="0"/>
                <w:lang w:eastAsia="en-NZ"/>
              </w:rPr>
              <w:t>Al hazards are identified and monitored accordingly, with any concerns reported to management and discussed at staff and board meetings. Routine environment audits ensure the environment is hazard free, that residents are safe, and independence is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staff interviewed confirmed they know the processes they should follow if any repairs or maintenance is required, any requests are appropriately actioned and that they are happy with the environment.  </w:t>
            </w:r>
          </w:p>
          <w:p w:rsidR="00EB7645" w:rsidRPr="00BE00C7" w:rsidP="00BE00C7">
            <w:pPr>
              <w:pStyle w:val="OutcomeDescription"/>
              <w:spacing w:before="120" w:after="120"/>
              <w:rPr>
                <w:rFonts w:cs="Arial"/>
                <w:b w:val="0"/>
                <w:lang w:eastAsia="en-NZ"/>
              </w:rPr>
            </w:pPr>
            <w:r w:rsidRPr="00BE00C7">
              <w:rPr>
                <w:rFonts w:cs="Arial"/>
                <w:b w:val="0"/>
                <w:lang w:eastAsia="en-NZ"/>
              </w:rPr>
              <w:t>There is a pest control programme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 and toilet facilities throughout the facility. This includes shared bathrooms, ensuites and separate toilets. Each resident room has a handbasin. Equipment and accessories are available to promote resident independence. Hot water temperatures are routinely monitored at the point of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 accommodation.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Separate communal areas are available in the rest home, hospital and dementia areas for residents to engage in activities. The dining and lounge areas are spacious and enable easy access for residents and staff. A chapel is available that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There are no restrictions regarding visiting hours and family interviewed confirming that they are made welcome at any time. Entry to the dementia unit is gained by pushing the external entry button.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regarding all cleaning and laundry services are documented and readily available to staff. These provide clear directions regarding the required tasks, safety and infection prevention and control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designated laundry which is located internally on a lower level. The laundry is not accessible to residents. The closed-circuit chemical safety system is monitored by an external contractor. Chemical safety training has been provided in the in-service training programme. The laundry has clearly defined areas for clean and dirty linen. </w:t>
            </w:r>
          </w:p>
          <w:p w:rsidR="00EB7645" w:rsidRPr="00BE00C7" w:rsidP="00BE00C7">
            <w:pPr>
              <w:pStyle w:val="OutcomeDescription"/>
              <w:spacing w:before="120" w:after="120"/>
              <w:rPr>
                <w:rFonts w:cs="Arial"/>
                <w:b w:val="0"/>
                <w:lang w:eastAsia="en-NZ"/>
              </w:rPr>
            </w:pPr>
            <w:r w:rsidRPr="00BE00C7">
              <w:rPr>
                <w:rFonts w:cs="Arial"/>
                <w:b w:val="0"/>
                <w:lang w:eastAsia="en-NZ"/>
              </w:rPr>
              <w:t>Cleaning is provided by cleaning staff and carers. One cleaning trolley is used across the facility. There is a secure cupboard in the dementia unit for storing any cleaning products. A cleaning schedule, that includes curtains and drapes ensures all areas are cleaned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reported the rooms were kept clean.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w:t>
            </w:r>
          </w:p>
          <w:p w:rsidR="00EB7645" w:rsidRPr="00BE00C7" w:rsidP="00BE00C7">
            <w:pPr>
              <w:pStyle w:val="OutcomeDescription"/>
              <w:spacing w:before="120" w:after="120"/>
              <w:rPr>
                <w:rFonts w:cs="Arial"/>
                <w:b w:val="0"/>
                <w:lang w:eastAsia="en-NZ"/>
              </w:rPr>
            </w:pPr>
            <w:r w:rsidRPr="00BE00C7">
              <w:rPr>
                <w:rFonts w:cs="Arial"/>
                <w:b w:val="0"/>
                <w:lang w:eastAsia="en-NZ"/>
              </w:rPr>
              <w:t>All staff receive training on emergency management and evacuation procedures. There is an approved fire evacuation plan. Fire systems and equipment are checked annually during the building warrant of fitness inspection. Evacuation drills are completed every six months.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Water storage tanks are located around the complex, and there is a generator on site.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staff ensure the facility is well secured each evening.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thermostatically controlled heating throughout the facility and temperatures can be monitored. The facility has plenty of natural light and ventilation. Each bedroom has an external window of normal proportions. There are no residents or staff that smoke on the premises.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minimises the risk of infection to residents, staff and visitors.  The programme is guided by a comprehensive and current infection control manual, with input from external specialists.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is the designated infection control nurse, whose role and responsibilities are defined in a job description. The signed job description is in place and was sighted in the infection control folder. Infection control matters, including surveillance results, are reported monthly to the general manager, clinical manager, and tabled at the quality/risk committee meetings that include representatives from all departments.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has flu symptoms or any other communicable infection, not to enter the facility. The infection control manual provides guidance for staff about how long they must stay away from work if they have been unwell. Interviewed staff understood these responsibilities. Residents who have infectious conditions are isolated in their rooms until the infection is resolved to minimise spread of infection. Personal protective equipment was used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has appropriate skills, knowledge and qualifications for the role, and has been in this role for two months.  The infection control nurse has completed a certificate in infection prevention and control as verified in training records sighted.  Additional support and information are accessed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confirmed the availability of resources to support the programme and any outbreak of an infection. Adequate resources were sighted on the days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and control standard and current accepted good practice.  Policies were last reviewed in within the past year and include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facilities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received education in infection prevention and control at orientation and ongoing education sessions. Education is provided by suitably qualified infection control personnel from the local DHB.  Content of the training is documented and evaluated to ensure it is relevant, current and understood.  A record of attendance is maintained.   When increase in infection incidence has occurred, there is evidence that additional staff education has been provided in response.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Trinity home and hospital’s infection surveillance is appropriate to that recommended for long term care facilities and includes infections of the urinary tract, soft tissue, fungal, eye, gastro-intestinal, the upper and lower respiratory tract infections. The infection control nurse reviews all reported infections, and these are documented.  New infections and any required management plans are discussed at handover, to ensure early intervention occurs as reported by interviewed staff and reviewed residents’ records.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Comparisons against previous months were completed. There were no infection outbreaks reported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two residents were using restraints and three residents were using enablers, which were the least restrictive and used voluntarily at their request.  The approved restraints for the organisation are t-belts, bedrails, ultra-low beds and specialised chairs e.g. fall out chairs. The two residents using restraints use t-belts when they go on trips only either out in the van outings or out with family to prevent them from falling out of the seat.</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files reviewed, and from interview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group made up of the clinical manager, RNs and the GP are responsible for the approval of the use of restraints and the restraint processes. It was evident from review of restraint approval group meeting minutes, residents’ files and interviews with the coordinator that there are clear lines of accountability, that all restraints have been approved, and the overall use of restraints is being monitored and analysed. The clinical manager is the restraint coordinator and has a job description in place with responsibilities clearly outlined.</w:t>
            </w:r>
          </w:p>
          <w:p w:rsidR="00EB7645" w:rsidRPr="00BE00C7" w:rsidP="00BE00C7">
            <w:pPr>
              <w:pStyle w:val="OutcomeDescription"/>
              <w:spacing w:before="120" w:after="120"/>
              <w:rPr>
                <w:rFonts w:cs="Arial"/>
                <w:b w:val="0"/>
                <w:lang w:eastAsia="en-NZ"/>
              </w:rPr>
            </w:pPr>
            <w:r w:rsidRPr="00BE00C7">
              <w:rPr>
                <w:rFonts w:cs="Arial"/>
                <w:b w:val="0"/>
                <w:lang w:eastAsia="en-NZ"/>
              </w:rPr>
              <w:t>The resident, family/whānau/EPOA were involved in the decision making and evidence was sighted in the reviewed residents’ files. Use of a restraint or an enabler was documented in the residents’ care plans that were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were documented and included all requirements of the Standard. The RN undertakes the initial assessment with the restraint coordinator’s involvement, and input from the resident’s family/whānau/EPOA. The interviewed restraint coordinator described the documented process. The GP is involved in the final decision on the safety of the use of the restraint. The assessment process identified the underlying cause, history of restraint use, cultural considerations, alternatives and associated risks. The desired outcome was to ensure the resident’s safety and security. Completed assessments were sighted in the records of residents who were using a restraint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restraints is actively minimised, and the restraint coordinator described how alternatives to restraints are discussed with staff e.g., the use of sensor mats and ultra-low beds.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frequent monitoring occurs to ensure the resident remains safe.  Records of monitoring had the necessary details. Access to advocacy is provided if requested and all processes ensure dignity and privacy are maintained and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updated every month and reviewed at each restraint approval group meeting. The register was reviewed and contained all residents currently using a restraints and enablers and sufficient information to provide an auditable record. </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restraint use, challenging behaviours and de-escalation techniques. Interviewed staff understood that the use of restraint is to be minimised and how to maintain safety when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use is reviewed and evaluated during care plan and interRAI reviews, three monthly restraint evaluations and at the restraint approval group meetings.  Families interviewed confirmed their involvement in the evaluation process and their satisfaction with the restraint process.  </w:t>
            </w:r>
          </w:p>
          <w:p w:rsidR="00EB7645" w:rsidRPr="00BE00C7" w:rsidP="00BE00C7">
            <w:pPr>
              <w:pStyle w:val="OutcomeDescription"/>
              <w:spacing w:before="120" w:after="120"/>
              <w:rPr>
                <w:rFonts w:cs="Arial"/>
                <w:b w:val="0"/>
                <w:lang w:eastAsia="en-NZ"/>
              </w:rPr>
            </w:pPr>
            <w:r w:rsidRPr="00BE00C7">
              <w:rPr>
                <w:rFonts w:cs="Arial"/>
                <w:b w:val="0"/>
                <w:lang w:eastAsia="en-NZ"/>
              </w:rPr>
              <w:t>The evaluation covers all requirements of the Standard, including future options to eliminate use, the impact and outcomes achieved, documentation sighted in records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committee undertakes a six-monthly review of all restraint use which includes all the requirements of this Standard. Six monthly restraint meetings and reports are completed, and individual use of restraint use is reported to the quality and staff meetings.  Minutes of meeting reviewed confirmed this includes analysis and evaluation of the amount and type of restraint use in the facility, whether all alternatives to restraint have been considered, the effectiveness of the restraint in use, the competency of staff and the appropriateness of restraint / enabler education and feedback from the doctor, staff and families. A six-monthly internal audit that is carried out also informs these meetings. Any changes to policies, guidelines, education and processes are implemented if indicated.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38"/>
        <w:gridCol w:w="1280"/>
        <w:gridCol w:w="7046"/>
        <w:gridCol w:w="1581"/>
        <w:gridCol w:w="14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is collected such as incidents, and audit results. Action plans are opened if required and outcomes of actions completed documented. There is evidence that improvements are made in an ongoing manner, however evaluation to indicate improvements are effective is not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is collected and analysed, however the data is not evaluated to indicate improvements made are effective.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When quality improvements are made in response to incidents, actions plans are evaluated to indicate improvements are effective.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1.2.7.2</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including evidence of registration and scope of practice for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resident van is used for resident outings. Four staff are allocated the responsibility of driving the van. The staff have current cardiopulmonary certificates; however, they do not have a current first aid certificate.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allocated to drive residents in the facility van do not have a current first aid certificate.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staff who drive residents in the facility van have a current first aid certificate.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GP’s uses electronic system and paper-based systems when prescribing of medicines. Reconciliation of medicines is completed by RN’s when received from the pharmacy. Two staff with medication administration competencies check and record controlled drugs received from the pharmacy. On the days of the audit, there was one resident who had medication crushed. There is a medication crushing policy in place with clear guidelines for staff. The records of temperatures for the medicine fridge reviewed were within the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Good prescribing practices noted include the prescriber’s signature and date recorded on the commencement and discontinuation of medicines. The required three-monthly GP review is consistently recorded on the medicine charts. Controlled drugs are stored securely in accordance with requirements and checked by two staff for accuracy when administering. The controlled drug register provided evidence of weekly and six-monthly stock checks. An improvement is required to ensure that accurate documentation of controlled drugs is completed, crushed medication is authorised by the GP, PRN medicines are prescribed as per medication guidelines, temperature of the medication rooms are monitored, and expired medication is removed from stock in use.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management does not meet legislative requirements or current best practice:</w:t>
            </w:r>
          </w:p>
          <w:p w:rsidR="00EB7645" w:rsidRPr="00BE00C7" w:rsidP="00BE00C7">
            <w:pPr>
              <w:pStyle w:val="OutcomeDescription"/>
              <w:spacing w:before="120" w:after="120"/>
              <w:rPr>
                <w:rFonts w:cs="Arial"/>
                <w:b w:val="0"/>
                <w:lang w:eastAsia="en-NZ"/>
              </w:rPr>
            </w:pPr>
            <w:r w:rsidRPr="00BE00C7">
              <w:rPr>
                <w:rFonts w:cs="Arial"/>
                <w:b w:val="0"/>
                <w:lang w:eastAsia="en-NZ"/>
              </w:rPr>
              <w:t>•</w:t>
              <w:tab/>
              <w:t xml:space="preserve">Medication held in stock had passed the best before date. </w:t>
            </w:r>
          </w:p>
          <w:p w:rsidR="00EB7645" w:rsidRPr="00BE00C7" w:rsidP="00BE00C7">
            <w:pPr>
              <w:pStyle w:val="OutcomeDescription"/>
              <w:spacing w:before="120" w:after="120"/>
              <w:rPr>
                <w:rFonts w:cs="Arial"/>
                <w:b w:val="0"/>
                <w:lang w:eastAsia="en-NZ"/>
              </w:rPr>
            </w:pPr>
            <w:r w:rsidRPr="00BE00C7">
              <w:rPr>
                <w:rFonts w:cs="Arial"/>
                <w:b w:val="0"/>
                <w:lang w:eastAsia="en-NZ"/>
              </w:rPr>
              <w:t>•</w:t>
              <w:tab/>
              <w:t>Prescribed medication for oral administration was crushed prior to administration without the GP’s authority on prescription chart.</w:t>
            </w:r>
          </w:p>
          <w:p w:rsidR="00EB7645" w:rsidRPr="00BE00C7" w:rsidP="00BE00C7">
            <w:pPr>
              <w:pStyle w:val="OutcomeDescription"/>
              <w:spacing w:before="120" w:after="120"/>
              <w:rPr>
                <w:rFonts w:cs="Arial"/>
                <w:b w:val="0"/>
                <w:lang w:eastAsia="en-NZ"/>
              </w:rPr>
            </w:pPr>
            <w:r w:rsidRPr="00BE00C7">
              <w:rPr>
                <w:rFonts w:cs="Arial"/>
                <w:b w:val="0"/>
                <w:lang w:eastAsia="en-NZ"/>
              </w:rPr>
              <w:t>•</w:t>
              <w:tab/>
              <w:t>Documentation in the Controlled drug register was incorrect.</w:t>
            </w:r>
          </w:p>
          <w:p w:rsidR="00EB7645" w:rsidRPr="00BE00C7" w:rsidP="00BE00C7">
            <w:pPr>
              <w:pStyle w:val="OutcomeDescription"/>
              <w:spacing w:before="120" w:after="120"/>
              <w:rPr>
                <w:rFonts w:cs="Arial"/>
                <w:b w:val="0"/>
                <w:lang w:eastAsia="en-NZ"/>
              </w:rPr>
            </w:pPr>
            <w:r w:rsidRPr="00BE00C7">
              <w:rPr>
                <w:rFonts w:cs="Arial"/>
                <w:b w:val="0"/>
                <w:lang w:eastAsia="en-NZ"/>
              </w:rPr>
              <w:t>•</w:t>
              <w:tab/>
              <w:t>No indications for use and/or maximum dose on prescribed PRN medications.</w:t>
            </w:r>
          </w:p>
          <w:p w:rsidR="00EB7645" w:rsidRPr="00BE00C7" w:rsidP="00BE00C7">
            <w:pPr>
              <w:pStyle w:val="OutcomeDescription"/>
              <w:spacing w:before="120" w:after="120"/>
              <w:rPr>
                <w:rFonts w:cs="Arial"/>
                <w:b w:val="0"/>
                <w:lang w:eastAsia="en-NZ"/>
              </w:rPr>
            </w:pPr>
            <w:r w:rsidRPr="00BE00C7">
              <w:rPr>
                <w:rFonts w:cs="Arial"/>
                <w:b w:val="0"/>
                <w:lang w:eastAsia="en-NZ"/>
              </w:rPr>
              <w:t>•</w:t>
              <w:tab/>
              <w:t>Temperature of the medication rooms currently not monitored for temperature control.</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medication management meets legislative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Trinity Home and Hospital Limited - Trinity Home &amp; Hospital</w:t>
    </w:r>
    <w:bookmarkEnd w:id="58"/>
    <w:r>
      <w:rPr>
        <w:rFonts w:cs="Arial"/>
        <w:sz w:val="16"/>
        <w:szCs w:val="20"/>
      </w:rPr>
      <w:tab/>
      <w:t xml:space="preserve">Date of Audit: </w:t>
    </w:r>
    <w:bookmarkStart w:id="59" w:name="AuditStartDate1"/>
    <w:r>
      <w:rPr>
        <w:rFonts w:cs="Arial"/>
        <w:sz w:val="16"/>
        <w:szCs w:val="20"/>
      </w:rPr>
      <w:t>29 August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