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Ellerslie Gardens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Ellerslie Gardens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August 2019</w:t>
      </w:r>
      <w:bookmarkEnd w:id="7"/>
      <w:r w:rsidRPr="009418D4">
        <w:rPr>
          <w:rFonts w:cs="Arial"/>
        </w:rPr>
        <w:tab/>
        <w:t xml:space="preserve">End date: </w:t>
      </w:r>
      <w:bookmarkStart w:id="8" w:name="AuditEndDate"/>
      <w:r w:rsidR="00A4268A">
        <w:rPr>
          <w:rFonts w:cs="Arial"/>
        </w:rPr>
        <w:t>16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reconfiguration was requested 23 May 2019 to reduce capacity from 97 to 87 beds by changing 10 double rooms to single rooms. A letter dated 28 May 2019 confirms the reversal of the request and bed capacity was changed back to 97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Ellerslie Gardens Lifecare provides rest home and hospital level care for up to 97 residents. The service is operated by Heritage Lifecare Limited and managed by a care home manager. The care home manager is supported by the clinical services manager. Residents and staff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contracted allied health providers and a general medical practitioner.</w:t>
      </w:r>
    </w:p>
    <w:p w:rsidRPr="00A4268A">
      <w:pPr>
        <w:spacing w:before="240" w:line="276" w:lineRule="auto"/>
        <w:rPr>
          <w:rFonts w:eastAsia="Calibri"/>
        </w:rPr>
      </w:pPr>
      <w:r w:rsidRPr="00A4268A">
        <w:rPr>
          <w:rFonts w:eastAsia="Calibri"/>
        </w:rPr>
        <w:t>A reconfiguration was requested on the 23 May 2019 to reduce 10 double rooms to 10 single rooms reducing capacity to 87 beds. However a letter dated 28 May 2019 confirmed the reversal of this request and bed capacity was changed to 97 beds.</w:t>
      </w:r>
    </w:p>
    <w:p w:rsidRPr="00A4268A">
      <w:pPr>
        <w:spacing w:before="240" w:line="276" w:lineRule="auto"/>
        <w:rPr>
          <w:rFonts w:eastAsia="Calibri"/>
        </w:rPr>
      </w:pPr>
      <w:r w:rsidRPr="00A4268A">
        <w:rPr>
          <w:rFonts w:eastAsia="Calibri"/>
        </w:rPr>
        <w:t>There were no areas identified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efficiently by the care home manager. Compliments are shared with the staff. There is one external enquiry which has not yet been closed out.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beliefs of the organisation. Monitoring of the services provided to the governing body was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families/whānau.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 appointment, orientation and management of staff is managed effectively. A systematic approach to identify and deliver ongoing training supports safe service delivery and included annual staff individual performance review. Staffing levels and skill mix have recently been reviewed and a newly implemented roster system has been commenced.</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was a current building warrant of fitness. Electrical equipment is tested as required. Communal and individual spaces are maintained at a comfortable temperature. External areas are accessible, safe and provide shade and seating. The gardens and grounds are well maintained.</w:t>
      </w:r>
    </w:p>
    <w:p w:rsidRPr="00A4268A">
      <w:pPr>
        <w:spacing w:before="240" w:line="276" w:lineRule="auto"/>
        <w:rPr>
          <w:rFonts w:eastAsia="Calibri"/>
        </w:rPr>
      </w:pPr>
      <w:r w:rsidRPr="00A4268A">
        <w:rPr>
          <w:rFonts w:eastAsia="Calibri"/>
        </w:rPr>
        <w:t>Waste and hazardous substances are well managed. Staff use personal protective equipment and resources. Chemicals, soiled linen and equipment are safely stored. Cleaning and laundry are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enablers and two types of restraint are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and trained infection control coordinator who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69"/>
        <w:gridCol w:w="1280"/>
        <w:gridCol w:w="90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Ellerslie Gardens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a support person present.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43 complaints had been received from 16 July 2018 to 29 July 2019 and that actions taken through to an agreed solution are clearly documented and completed within the required timeframes.  All complaints are effectively closed out. The complaints register is maintained electronically by the care home manager. Staff education is provided on complaints management and all staff interviewed confirmed a sound knowledge and understanding of the complaint process and what actions are required. There is one coroner’s case which has been open for four years and all information and any follow-up is filed appropriately and is maintained confidentially by the care home manager.  There are no complaints with the Health and Disability Commissioner (HDC). Many letters and cards are received with compliments from families/whānau and residents and these are displayed for staff to read.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in discussion with staff and at residents meetings. The Code is displayed in communal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were observed to maintain privacy throughout the audit.  Six couples share a double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arranging their own visits to the doctor and participating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acknowledged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 The service has many different ethnicities as residents and staff population reflected this as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behaviours and the Code of Conduct.  </w:t>
            </w:r>
          </w:p>
          <w:p w:rsidR="00EB7645" w:rsidRPr="00BE00C7" w:rsidP="00BE00C7">
            <w:pPr>
              <w:pStyle w:val="OutcomeDescription"/>
              <w:spacing w:before="120" w:after="120"/>
              <w:rPr>
                <w:rFonts w:cs="Arial"/>
                <w:b w:val="0"/>
                <w:lang w:eastAsia="en-NZ"/>
              </w:rPr>
            </w:pPr>
            <w:r w:rsidRPr="00BE00C7">
              <w:rPr>
                <w:rFonts w:cs="Arial"/>
                <w:b w:val="0"/>
                <w:lang w:eastAsia="en-NZ"/>
              </w:rPr>
              <w:t>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RNs are interRAI trained and the remaining three new RN’s are in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utilises online education for RN’s and staff education included identified case studies relevant to current residents that includes best practice processes. </w:t>
            </w:r>
          </w:p>
          <w:p w:rsidR="00EB7645" w:rsidRPr="00BE00C7" w:rsidP="00BE00C7">
            <w:pPr>
              <w:pStyle w:val="OutcomeDescription"/>
              <w:spacing w:before="120" w:after="120"/>
              <w:rPr>
                <w:rFonts w:cs="Arial"/>
                <w:b w:val="0"/>
                <w:lang w:eastAsia="en-NZ"/>
              </w:rPr>
            </w:pPr>
            <w:r w:rsidRPr="00BE00C7">
              <w:rPr>
                <w:rFonts w:cs="Arial"/>
                <w:b w:val="0"/>
                <w:lang w:eastAsia="en-NZ"/>
              </w:rPr>
              <w:t>‘Tool-box’ talks are regular and include early identification for emerging issues such as blanching of the skin for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staff able to provide interpretation as and when needed as the resident ethnic population is reflected in current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 which is reviewed annually outlines the values, philosophy, scope, direction and goals of the organisation. The document described annual and longer term objectives and the associated operational plans. The 2019/2020 business plan reviewed outlines service specific goals to achieve. A sample of quarterly reports to the directors showed adequate information to monitor performance is reported including financial performance, emerging risks and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care home manager (FM) who holds relevant management and registered nurse qualifications and has been covering the service for six years in this role. Responsibilities and accountabilities are defined in a job description and individual employment agreement. The FM confirmed knowledge of the sector, regulatory and reporting requirements and maintains currency by attending study days at the DHB and training provided by Heritage Lifecare Limited HLL. The clinical services manager (CM) commenced at this facility and role in 2018. The clinical quality support RN was present for this audit in an advisory and supportive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for hospital services (medical and geriatric), rest home, respite care, under 65 years younger people with a disability (YPD) and a long term chronic health (LTCH) contract.  On the day of audit 81 residents were receiving services under the contract; 35 rest home, 43 hospital; two (YPD) rest home level, nil respite and one long term chronic health care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is able to cover as required in the absence of the FM and is qualified to cover these duties under delegated authority with support from the clinical quality support nurse and the regional operations manager as required. The clinical services manager can cover and take responsibility for any clinical issues that may arise. The Heritage Lifecare Limited (HLL) clinical quality support registered nurse for this region was present at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(HLL) has a planned quality and risk system and plan dated March 2018 to March 2020 that reflects the principles of continuous quality improvement. This includes the management of accidents and complaints, audit activities, health and safety, resident satisfaction surveys, monitoring of outcomes, clinical incidents including infections and pressure injuries. The care home manager ensures the goals set for the service are reported on in regard to progress against the set goals in their weekly care home manager’s report. An education plan and staff training record spread sheet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governance meetings, monthly integrated meetings and staff meetings. Staff interviewed reported their involvement in quality and risk management through audit activities, weekly memos and their regular staff meetings. The 2019 audit schedule was available and reviewed. Relevant corrective actions are developed and implemented to address any shortfalls. Resident and family satisfaction surveys are completed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references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This is completed at support office.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described the processes for the identification, monitoring, review and reporting of risks and development of mitigation strategies. The care home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The incident/accident is also recorded in the progress records, mentioned at handover and if needed the care plan would be updated. All serious incidents/accidents are reported to the RN on duty before the end of the shift. There are policies and guidelines for incident/accident management to guide staff which provides useful information on the response to different types of events including falls, abuse, infections, damage to property/equipment security and health and safety issues. A sample of incident forms reviewed showed these were fully completed, incidents were investigated, action plans developed and actions followed up in a timely manner. Adverse event data is analysed and reported to management. An event log is maintained by the care home manager.  Falls events are reported to the DHB for a falls programme in place.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described essential notification reporting requirements including pressure injuries. There have been 10 section 31 notices since October 2018 until 15 August 2019 (the date of this audit) reported to support office. The care home manager sends the Section 31 notices to the quality team at support office and then they are forwarded to the appropriate agency. These are also reflected and included on the clinical indicators reported monthly by the care home manager including, unintentional weight loss, falls with and without injury, skin tears, behavioural incidents and or medication errors, property loss and security issues.  A summary which is loaded electronically onto the ‘eCase’ system and the statistics documented are forwarded to support office. The incident forms are filed in the individual residents’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included referee checks, police vetting and validation of qualifications and practising certificates (APCS) where required.  Qualifications of trained staff and allied health professionals including the registered nurses, general practitioners, one nurse practitioner, two enrolled nurse, physiotherapist, pharmacists, dietitian, podiatrist and the pharmacy licence to operate are reviewed annually.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Job descriptions were sighted for each staff member depending on the role they undertake. Staff records reviewed showed documentation of completed orientation, a verbal review following orientation and a performance review after one year. A schedule was reviewed for completing the required annual staff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including mandatory requirements. Care staff (44) in total have either completed a New Zealand Qualification Authority education programme to meet the requirements of the provider’s agreement with the DHB. There are thirteen registered nurses (including the clinical services manager) eight of whom are currently maintaining their annual competency requirements to undertake interRAI assessments. There are two registered nurse who are booked to complete the interRAI training. The (HLL) clinical quality support nurse is also competent in interRAI and is able to provided support and advice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allocation of staff/duty rosters policy to guide facility and clinical services managers. An electronic tool based on the indicators for safe staffing is used by the FM. The rosters reviewed cover 24 hours a day, seven days a week (24/7). The facility adjusts staffing levels to meet the changing needs of residents. An after-hours on call system is in place and staff interviewed reported that good access to advice is available when needed. Care staff interviewed in a group reported there were adequate staff available and that team-work was encouraged. Residents and family members interviewed supported this. Staff are replaced in any unplanned absence. At least one staff member on duty has a current first aid certificate and there is 24/7 RN coverage at all times. The service is covered and well supported with the FM working Monday to Friday 8am until 5pm and the CM working Monday to Friday 8am to 5pm.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general practitioner (GP) and family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documents details on a paper transfer form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family have been kept well informed and all relevant information was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were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electronic details.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were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on the electronic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council and expires 11 Dec 2019.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w:t>
            </w:r>
          </w:p>
          <w:p w:rsidR="00EB7645" w:rsidRPr="00BE00C7" w:rsidP="00BE00C7">
            <w:pPr>
              <w:pStyle w:val="OutcomeDescription"/>
              <w:spacing w:before="120" w:after="120"/>
              <w:rPr>
                <w:rFonts w:cs="Arial"/>
                <w:b w:val="0"/>
                <w:lang w:eastAsia="en-NZ"/>
              </w:rPr>
            </w:pPr>
            <w:r w:rsidRPr="00BE00C7">
              <w:rPr>
                <w:rFonts w:cs="Arial"/>
                <w:b w:val="0"/>
                <w:lang w:eastAsia="en-NZ"/>
              </w:rPr>
              <w:t>Examples of this occurring were discussed and related documentation sighted.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continence assessment, as a means to identify any deficits and to inform care planning. The sample of care plans reviewed had an integrated range of resident-related information.  All residents have current interRAI assessments completed by one of eight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in handover as observed during the audit.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delivered according to instructions.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co-ordinators.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included normal community activities. Individual, group activities and regular events are offered.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residents’ meetings and satisfaction surveys. 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wounds, continence, behaviour and mobility.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medical and diabetes consultants.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A spill kit was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There was evidence of a large clean out of order stored equipment awaiting collection by a contracted waste management contractor for recycling and this was moved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10 March 2020) was publicly displayed.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were in place to ensure the residents’ physical environment and facilities were fit for their purpose and maintained.  Handrails are in place in the hallways. The building is all on one level. There are safe level pathways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electrical equipment and calibration of biochemical equipment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all the resident group and setting. The gardens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and were observed demonstrating they know the processes they should follow if any repairs or maintenance is required, any requests are appropriately actioned and that they are pleased with the environment. The facility is accessible to meet the equipment and mobility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divided into six wings. Twenty four rooms have full ensuite bathrooms.  Eighteen rooms have their own toilet and hand basins. All other individual rooms have a hand basin. All other toilets and showers are in close proximity to the residents’ rooms in all wings where needed. Appropriately secured and approved handrails are provided in all bathrooms and other equipment and 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Bedrooms provided are single or double accommodation. There are nine generous sized double rooms in total. Where rooms are shared approval has been sought. Each resident room and all service areas have a call bell system in place. All rooms were personalised with furnishings, photographs and other personal items being displayed.  In all service areas visited there was adequate space to store total mobility scooters wheel chairs and walkers.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Furniture sighted was appropriate to the setting and residents’ needs. There is one large dining area and lounge central to the facility which is used as the main activities room. There is a separate dining lounge area in wing two which accommodates mostly hospital level care residents. There is a small lounge in wing six which can be utilised as a family/whānau lounge or for private conversations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is undertaken onsite with a separate laundry being available. The staff interviewed are fully informed of their respective duties and have been in this role for many years. The staff demonstrated a sound knowledge of the laundry processes, dirty/clean flow and the handling of any soiled linen. Residents interviewed reported the laundry is managed well and personal clothing is returned in a timely manner. Chemicals are stored in a locked cupboard in close proximity to the laundry and kitchen and were clearly labelled. A contracted service provider provides all chemical training for kitchen, laundry and cleaning staff. Training was verified in the training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cleaners store their trolley appropriately in the locked sluice room when not in use. A refillable chemical system is in place. Protective equipment and resources are provided with good stores available when needed. Two cleaners work each day seven days a week and one laundry person is delegated seven days a week. Care staff assist as needed.</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temperature monitoring is managed effectively in collaboration with the maintenance staff and contracted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guides direct the facility in their preparation for disasters and describe the procedures to be followed in the event of a fire or other emergency.  The current fire evacuation plan was approved by the New Zealand Fire Service 5 November 2013. A trial evacuation takes place six monthly with an outcome copy sent to the fire service, the most recent being on 19 June 2019. The orientation programme includes fire and security training. Staff interviewed confirmed awareness of the emergency procedures for all groups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water, food, blankets, radios, torches and gas barbecues were sighted and meet the requirements for the 81 residents and for the local council in this region. Portable water and food is available for all emergencies. Water storage including a 2000 gallon tank is available. Emergency lighting is available and regular testing occurs. A generator would be hired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hot water supplies to the wings. The hot water is checked and monitored at the beginning of each month and recorded electronically by maintenance staff. One of whom works fulltime and the other part-time but both share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is working in partnership and is linked with the DHB emergency planning group. Training is provided to staff in relation to health and safety including emergencies, moving and handling and hazard training and this was sighted on the education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audited regularly and residents stated their calls to summon assistance are responded to by staff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with a contracted security company of choice and staff are also responsible for the doors and windows on the afternoon and night shifts. Security cameras have been installed for approximately five years and signage was sighted. There is a bell for visitors and staff at the main entrance for the after-hours.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Heat pumps have been installed in the communal areas and electric wall mounted heaters are in all individual residents’ rooms. Rooms have natural light, opening external windows. All service areas were warm and maintained at an even temperature. This was confirmed by the residents and families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comprehensive and current infection control manual, with input from the HLL quality team. The infection control programme and manual are reviewed annually and evaluated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IPC coordinator, whose role and responsibilities are defined in a job description. Infection control matters, including surveillance results, are reported monthly to the clinical services manager, and tabled at the quality committee meeting. This committee includes the clinical services manager, IPC coordinator and unit coordinators. The committee reports to the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She has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have been no infection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reviewed two yearly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services manager, quality/IPC committee and are displayed on the nurses’ station notice boards. Data is benchmarked externally within the HLL group using an electronic quality management system (eCase). This data has been collated by the Quality Manager and is reported through the senior management team to the GM and board of HLL.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 and provide guidance on the safe use of both restraints and enablers. The restraint coordinator was available on the day of audit and provides support and oversight for enabler and restraint management in the facility. The registered nurse restraint coordinator interviewed demonstrated a sound understanding of the organisation’s policies, procedures and practice and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two enablers were in use and two restraints. Enablers were the least restrictive and used voluntarily at the residents’ request. A similar process is followed for the use of enablers as is used for restraints.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minutes, records reviewed and from interview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responsible for the approval of the use of restraints and the restraint processes. There are clear lines of accountability, all restraints have been approved and there was evidence that the overall use of restraint is being monitored and analysed. Evidence of family/whānau involvement in the decision making was on record in each case. Use of a restraint or an enabler is part of the plan of care for the individual resident involved. The approval group meets six monthly to discuss the requirements of restraint monitoring and quality review and the needs of the resident and whether the restraint/enabler is meeting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RN undertakes the initial assessment with the restraint coordinator’s involvement and input from the resident’s family/whānau. The restraint coordinator interviewed described the documented process. Families confirmed their involvement. The GP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actively minimised and the restraint coordinator interviewed described how alternatives to restraints are discussed with staff and family members. When restraints are in use frequent monitoring occurs to ensure the resident remains safe. Records of monitoring had the necessary details. Access to advocacy is provided if requested and all processes ensure dignity and privacy are maintained and respected.</w:t>
            </w:r>
          </w:p>
          <w:p w:rsidR="00EB7645" w:rsidRPr="00BE00C7" w:rsidP="00BE00C7">
            <w:pPr>
              <w:pStyle w:val="OutcomeDescription"/>
              <w:spacing w:before="120" w:after="120"/>
              <w:rPr>
                <w:rFonts w:cs="Arial"/>
                <w:b w:val="0"/>
                <w:lang w:eastAsia="en-NZ"/>
              </w:rPr>
            </w:pPr>
            <w:r w:rsidRPr="00BE00C7">
              <w:rPr>
                <w:rFonts w:cs="Arial"/>
                <w:b w:val="0"/>
                <w:lang w:eastAsia="en-NZ"/>
              </w:rPr>
              <w:t>A separate restraint register is maintained, updated every month and reviewed at each restraint approval group meeting. The register was reviewed and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appropriate training and this was evidenced in the staff training records reviewed.  Restraint minimisation and supporting people with challenging behaviours were also discussed. Staff interviewed understood that the use of restraint is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showed that the individual use of restraints is reviewed and evaluated during care plan and interRAI reviews, six monthly restraint evaluations and at the restraint approval group meetings. Families interviewed confirmed involvement in the evaluation process and their satisfaction with the restraint process. The evaluation covers all requirements of the Standard including future options to eliminate use, the impact and outcomes achieved and if the policy and procedure was followed and documentation was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 monthly review of all restraint use which includes the requirements of the standard. Six monthly restraint meetings and reports are completed and individual use of restraint use is reported to the quality and staff meetings. Minutes of meetings confirmed this includes analysis and evaluation of the amount of restraint use in the facility, whether all alternatives to restraint have been considered, the effectiveness of the restraint in use, the competency of staff and the appropriateness of restraint/enabler education and feedback from the doctor, staff and families. A six monthly internal audit as per the audit schedule reviewed is carried out and also informs these meetings. Any changes to policies, guidelines, education and processes are implemented from the support office if indicated. Restraint is minimised at this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Ellerslie Gardens Lifecare</w:t>
    </w:r>
    <w:bookmarkEnd w:id="58"/>
    <w:r>
      <w:rPr>
        <w:rFonts w:cs="Arial"/>
        <w:sz w:val="16"/>
        <w:szCs w:val="20"/>
      </w:rPr>
      <w:tab/>
      <w:t xml:space="preserve">Date of Audit: </w:t>
    </w:r>
    <w:bookmarkStart w:id="59" w:name="AuditStartDate1"/>
    <w:r>
      <w:rPr>
        <w:rFonts w:cs="Arial"/>
        <w:sz w:val="16"/>
        <w:szCs w:val="20"/>
      </w:rPr>
      <w:t>15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