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Rosaria Rest Home 2006 Limited - Rosaria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Rosaria Rest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Rosaria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August 2019</w:t>
      </w:r>
      <w:bookmarkEnd w:id="7"/>
      <w:r w:rsidRPr="009418D4">
        <w:rPr>
          <w:rFonts w:cs="Arial"/>
        </w:rPr>
        <w:tab/>
        <w:t xml:space="preserve">End date: </w:t>
      </w:r>
      <w:bookmarkStart w:id="8" w:name="AuditEndDate"/>
      <w:r w:rsidR="00A4268A">
        <w:rPr>
          <w:rFonts w:cs="Arial"/>
        </w:rPr>
        <w:t>20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Rosaria Rest Home provides rest home level care for up to 26 residents. The service is operated by Rosaria Rest Home 2006 Limited and managed by the director/manager, an assistant manager and a registered nurse.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and staff and a general practitioner. No interpreter was arranged specifically for this audit but the auditors managed as some residents interviewed and families spoke English.</w:t>
      </w:r>
    </w:p>
    <w:p w:rsidRPr="00A4268A">
      <w:pPr>
        <w:spacing w:before="240" w:line="276" w:lineRule="auto"/>
        <w:rPr>
          <w:rFonts w:eastAsia="Calibri"/>
        </w:rPr>
      </w:pPr>
      <w:r w:rsidRPr="00A4268A">
        <w:rPr>
          <w:rFonts w:eastAsia="Calibri"/>
        </w:rPr>
        <w:t>The audit has resulted in areas requiring improvement relating to document control, the information provided to residents/family, medication competency and the dietitian review of the menu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There is a Maori health plan to guide staff for residents who identify as Māori to ensure their needs are met in a manner that respects their cultural values and beliefs when needed.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Business, quality and risk management plans reviewed included the scope, direction, objectives and values of the organisation. Monitoring of the services is provided to the governing body regularly and effectively. An experienced and suitably qualified person manages the facility.</w:t>
      </w:r>
    </w:p>
    <w:p w:rsidRPr="00A4268A">
      <w:pPr>
        <w:spacing w:before="240" w:line="276" w:lineRule="auto"/>
        <w:rPr>
          <w:rFonts w:eastAsia="Calibri"/>
        </w:rPr>
      </w:pPr>
      <w:r w:rsidRPr="00A4268A">
        <w:rPr>
          <w:rFonts w:eastAsia="Calibri"/>
        </w:rPr>
        <w:t xml:space="preserve">The quality and risk management system includes collection of data and analysis. Any trends are identified which leads to quality improvement. Staff are involved and feedback mechanisms are in place. Adverse events are well documented with corrective action plans implemented. Risks, including health and safety risks, are identified and mitigated. Policies and procedures support service delivery. </w:t>
      </w:r>
    </w:p>
    <w:p w:rsidRPr="00A4268A">
      <w:pPr>
        <w:spacing w:before="240" w:line="276" w:lineRule="auto"/>
        <w:rPr>
          <w:rFonts w:eastAsia="Calibri"/>
        </w:rPr>
      </w:pPr>
      <w:r w:rsidRPr="00A4268A">
        <w:rPr>
          <w:rFonts w:eastAsia="Calibri"/>
        </w:rPr>
        <w:t>The appointment of staff is based on current good practice. Full orientation is provided to new staff and ongoing training supports safe service provision and includes the completion of staff annual appraisals. Staffing levels and skill mix meet the changing needs of the residents.</w:t>
      </w:r>
    </w:p>
    <w:p w:rsidRPr="00A4268A">
      <w:pPr>
        <w:spacing w:before="240" w:line="276" w:lineRule="auto"/>
        <w:rPr>
          <w:rFonts w:eastAsia="Calibri"/>
        </w:rPr>
      </w:pPr>
      <w:r w:rsidRPr="00A4268A">
        <w:rPr>
          <w:rFonts w:eastAsia="Calibri"/>
        </w:rPr>
        <w:t>Residents’ records are documented in a timely manner, in accordance with current accepted standards and are stored securely.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cultural needs of the residents with special needs catered for. Food is safely managed. Residents and family members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Rosaria Rest Home facilities meets the needs of residents and was well maintained, clean and tidy. There was a current building warrant of fitness and electric equipment is tested as required. Communal and individual spaces are maintained with appropriate heating at an even comfortable temperature. External areas are level and well maintained, with seating available. Shade is available in the summer months.</w:t>
      </w:r>
    </w:p>
    <w:p w:rsidRPr="00A4268A">
      <w:pPr>
        <w:spacing w:before="240" w:line="276" w:lineRule="auto"/>
        <w:rPr>
          <w:rFonts w:eastAsia="Calibri"/>
        </w:rPr>
      </w:pPr>
      <w:r w:rsidRPr="00A4268A">
        <w:rPr>
          <w:rFonts w:eastAsia="Calibri"/>
        </w:rPr>
        <w:t>Waste and hazardous substances are well managed. Staff are protected with adequate supplies of personal protective equipment being available. Chemicals are stored safely. Laundry is contracted offsite and evaluated for effectiveness.</w:t>
      </w:r>
    </w:p>
    <w:p w:rsidRPr="00A4268A">
      <w:pPr>
        <w:spacing w:before="240" w:line="276" w:lineRule="auto"/>
        <w:rPr>
          <w:rFonts w:eastAsia="Calibri"/>
        </w:rPr>
      </w:pPr>
      <w:r w:rsidRPr="00A4268A">
        <w:rPr>
          <w:rFonts w:eastAsia="Calibri"/>
        </w:rPr>
        <w:t>Staff are trained in emergency procedures and emergency resources are readily available Supplies are checked regularly. Fire evacuation procedures are held six monthly.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Use of enablers is voluntary for the safety of residents in response to individual requests.  No restraints were in use. Comprehensive documentation is maintained which includes assessment, approval, monitoring and review processes to be activated as needed. Staff interviewed demonstrated a sound knowledge and understanding of restraint minimisation and safe practice.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the registered nurse who is the infection control coordinator, and it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There have been no infection outbreaks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41"/>
        <w:gridCol w:w="1280"/>
        <w:gridCol w:w="90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Rosaria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(RN) and care staff interviewed understood the principles and practice of informed consent. Informed consent policies provide relevant guidance to staff. Clinical records reviewed showed that informed consent had been gained appropriately using the organisation’s standard consent form. Interviewed residents and family reported that the informed consent was discussed on admission using the language that the residents/family understood. The manager and the RN explain the informed consent with the residents and/family on admission. Advance care planning, establishing and documenting enduring power of attorney requirements and processes for residents unable to consent is defined and documented, as relevant, in the resident’s records. 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interviewed were aware of the Advocacy Service, how to access this and their right to have support persons. The RN provided examples of when they would involve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and compliments forms and associated documents meet the requirements of Right 10 of the Code of Health and Disability Services Consumers’ Rights (the Code). Information on the complaint process is placed around the facility. Those interviewed, residents and family, knew how to make a complaint and to give compliments.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verbal and four written complaints have been received since the previous audit and that actions were taken through to an agreed resolution and documented processes were completed within the timeframes required. Action plans showed any required actions or improvements that have been made where possible. The manager is responsible for complaints management and any follow-up.  All staff interviewed confirmed an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received from the DHB since the previous audit 2018 and this complaint was unsubstantiated and was effectively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being made aware of the Code and the Nationwide Health and Disability Advocacy Service (Advocacy Service) as part of the admission information provided and discussion with the RN on admission. The Code is displayed on notice boards together with information on advocacy services in a language that is understood by the residents. The code is available in Chinese and English languages. Information on how to make a complaint and feedback forms are displayed in the front entrance foyer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or share a room with their spouse, with their consent.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participation in community activities of their own choice and in personal care tasks as desired.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days of the audit, there were no residents who identified as Māori. There is a Māori health plan in place to guide staff when required. Guidance on tikanga best practice is available. Interviewed staff were aware of the principles of the Treaty of Waitangi and the importance of family/whanau involvement in providing support for residents who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All residents on the days of the audit identified as Chinese and their different dialects were documented in the long-term care plans reviewed. The resident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The registered nurse has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for example, wound care specialist, psycho-geriatrician and mental health services for older persons, and education of staff.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through the local district health board (DHB)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health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all residents able to speak Chinese, staff able to provide interpretation as and when needed and the use of family members. On the days of the audit, interpretation was provided by family members for four residents who were interviewed and one resident could speak English 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business/quality plan is reviewed annually and outlines the purpose, values, scope and direction of the organisation. The documents reviewed described annual objectives and the associated operational plans. The mission statement and philosophy of the organisation was displayed in the entrance to the facility. The manager is the owner/director of the service. The manager was able to evidence adequate information on how performance was monitored and reports included any emerging risks or issues raised.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interviewed is experienced in the aged care residential care sector and has owned this facility since 2006. The manager confirmed knowledge of the sector, regulatory and reporting requirements.  The facility manager upskills and attends training and meetings with other like services on a regular basis. The manager is also a current member of an aged care association ensuring any changes or information about the sector is known. The manager is supported by an assistant manager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rest home and respite care.  At the time of the audit there are 22 rest home residents and one boarder.  No residents were receiving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there is an assistant manager who can cover the business management aspects of the service and the registered nurse is available to cover all clinical aspects of service delivery. During absence of the registered nurse (RN), a senior RN (casual) is available to cover the RN. The RN cover is provided 24 hours a day seven days a week.  Staff interviewed reported that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(the audit schedule and results of audits were followed through), satisfaction surveys, monitoring of outcomes and clinical incidents including infections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monthly quality/staff meetings. Staff reported involvement in quality and risk activities through audits. Any relevant corrective actions are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acknowledges the Health and Safety at Work Act 2015 and ensures all requirements are met and they adhere to safety procedures and practices as set out by the organisation. Employees are required to conduct themselves in a manner that avoids harm to themselves and others. The service promotes health and safety measures to provide a safe environment for residents, staff and visitors to this facility. The manager maintains and monitors a safety programme and provides health and safety information about any hazards present in the work place, including the identification and control of these hazards. Health and safety is on the agenda for all meetings and this was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 family and staff satisfaction surveys are completed annually. The results of the surveys were reviewed and positive comments evidenced that residents and families were satisfied with all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including reference to the interRAI Long Term Care Facility (LTCF) assessment tool and process. Policies are developed by an external quality consultant. The consultant advises if any changes are made to policies or new policies are introduced for implementation and these are placed in one folder not in the actual manual where applicable. The document control system evidenced that policies and procedures when updated were not replaced in the appropriate manuals. Any updated policies were kept in one folder sighted. Some policies reviewed had outdated referencing and dates had not been changed to verify the documents were current and up-to-date. Duplication of policies was evident in the manuals reviewed. The manager had been documenting that all policies were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identification, monitoring, review and reporting of risks and development of mitigation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and near miss events on an accident/incident form. A sample of incident forms reviewed evidenced these were fully completed, incidents were investigated, action plans developed, and actions were followed up by the RN in a timely manner. Adverse event data is collated by the RN and reported to the manager. The RN maintains the ‘accident/incident report folder’.  This is well maintained. Any residents who have unwitnessed falls have neurological observations completed post fall. After the incidents and accidents are analysed monthly, the RN develops graphs which are used to report information to staff. Summaries and comparisons with the previous month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is fully informed of what incidents/events require notification to the Ministry of Health, HealthCERT, Public Health or other agencies. There have been no Section 31 notices completed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All APCs were validated and records were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Job descriptions were sighted. Staff records reviewed showed documentation of completed orientation and a performance review is completed annually. Staff interviewed (the RN, cook and caregivers), stated they all received at commencement of employment a full orientation and a buddy system was adopted until they felt comfortable in their designated role. All staff have either completed or commenced a New Zealand Qualification Authority education programme to meet the requirements of the service provider’s agreement with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one registered nurse maintains the annual competency requirements to undertake interRAI assessments. Records reviewed demonstrated completion of the required training. The manager completes the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All care staff and the RN have completed current first aide and basic life support cardio-pulmonary resuscitation. Certificates were sighted in the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employed full time with time allocated to complete the interRAI assessments at three weeks after a resident is admitted and six monthly thereafter. The education programme developed and implemented covers the educational and contractual requirements for all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provision, 24 hours a day seven days a week. The facility adjusts staffing levels to meet the changing needs of residents. The registered nurse covers the after-hours for all clinical issues and the manager for non-clinical as required. The general practitioner interviewed is also on call after hours. The care staff interviewed reported there were adequate staff available to complete the work allocated to them and teamwork was promoted. The residents and staff interviewed supported this. Observations and review of a four-week roster cycle confirmed adequate staff cover has been provided. Casual staff are available including an RN as needed. Staff are replaced as required for sickness and leave as needed. At least one staff member is on duty who has a current first aid certificate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 reviewed. Clinical notes were current and integrated</w:t>
            </w:r>
          </w:p>
          <w:p w:rsidR="00EB7645" w:rsidRPr="00BE00C7" w:rsidP="00BE00C7">
            <w:pPr>
              <w:pStyle w:val="OutcomeDescription"/>
              <w:spacing w:before="120" w:after="120"/>
              <w:rPr>
                <w:rFonts w:cs="Arial"/>
                <w:b w:val="0"/>
                <w:lang w:eastAsia="en-NZ"/>
              </w:rPr>
            </w:pPr>
            <w:r w:rsidRPr="00BE00C7">
              <w:rPr>
                <w:rFonts w:cs="Arial"/>
                <w:b w:val="0"/>
                <w:lang w:eastAsia="en-NZ"/>
              </w:rPr>
              <w:t>with GP and allied health service provider notes. This includes interRAI assessment information entered into the Momentum electronic database. Records were legible with the name and designation of the person making the entry identifiable. Current residents’ records were kept securely in the nurses’ station and electronic records can only be accessed via individual passwords.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information about the service and the admission process. The organisation seeks updated information from NASC and GP for residents accessing services. A record of all inquiries is maintained by the manager and follow up is completed as required.</w:t>
            </w:r>
          </w:p>
          <w:p w:rsidR="00EB7645" w:rsidRPr="00BE00C7" w:rsidP="00BE00C7">
            <w:pPr>
              <w:pStyle w:val="OutcomeDescription"/>
              <w:spacing w:before="120" w:after="120"/>
              <w:rPr>
                <w:rFonts w:cs="Arial"/>
                <w:b w:val="0"/>
                <w:lang w:eastAsia="en-NZ"/>
              </w:rPr>
            </w:pPr>
            <w:r w:rsidRPr="00BE00C7">
              <w:rPr>
                <w:rFonts w:cs="Arial"/>
                <w:b w:val="0"/>
                <w:lang w:eastAsia="en-NZ"/>
              </w:rPr>
              <w:t>Interviewed family members stated that they were satisfied with the admission process and the information that had been made available to them on admission. Residents’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is required to ensure that the service brochure has updated information on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is provided for the ongoing management of the resident. All referrals are documented in the progress notes. Interviewed family of a resident who was transferred to acute care service reported being kept well informed during the transfer of their relative. A record is kept for all discharges and transfers to other providers with reasons for the transfer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paper-based system was observed on the days of audit. The staff interviewed demonstrated good knowledge and had a clear understanding of their roles and responsibilities related to each stage of medicine management. A caregiver was observed administering medication and appropriate procedures were followed.</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on request, as required. There were no controlled drugs on site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Records of temperatures for the medicine fridge were documented and within the recommended range. There was no food or drinks in the medication fridge. No vaccines are kept on site.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There were no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medicines at the time of audit. Appropriate processes are in place to ensure this is managed in a safe manner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An improvement is required in completing annual medication administration competencies for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the cook and is in line with recognised nutritional guidelines for older people. The menu follows summer and winter patterns. Culture appropriate meals are prepared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was issued by the ministry for primary industries. Food, freezer and fridge temperatures are monitored and recorded as part of the food control plan. The cook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completed for each resident on admission to the facility and a dietary profile developed and a copy provided for the kitchen staff. If there are any changes, the kitchen staff is updated. On the days of the audit, the kitchen was clean and cleaning schedules were being completed. There were no expired food items in the pantry.</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reported satisfaction with the food service. Satisfaction surveys and resident meeting minutes confirmed residents’ satisfaction with the meal services. Residents were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that the menu is reviewed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information about other providers is given to ensure the prospective resident and family are supported to find appropriate care. The family and the prospective resident are informed of the reason for declining entry. The RN reported that if the needs of a resident change and they are no longer suitable for the services offered, a referral for reassessment to the NASC is made and a new placement found, in consultation with the resident and family. There is a clause in the admission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Braden scale, mini nutritional assessment and interRAI assessment, as a means to identify any deficits and residents’ needs to inform care planning. The sample of care plans reviewed had an integrated range of resident-related information. All residents have current interRAI assessments completed by the interRAI trained RN on site. Interviewed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Observed shift handover confirmed adequate information is shared to promote continuity of service delivery. Interviewed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implemented promptly.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activities coordinator who has completed relevant external education. A weekly activities planner is posted on the notice boards and it is written in appropriate language for the residents and in English respectively.</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are completed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Daily activities attendance is documented.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family are involved in evaluating and improving the programme through satisfaction surveys. Interviewed residents confirmed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caregivers. If any change is noted, it is reported to the RN. Formal long-term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chest infections, wounds and urinary tract infections. The short-term care plans were closed off when acute conditions resolve. Unresolved acute problems are added to long term care plans. Interviewed residents and family confirmed being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input. Copies of referrals were sighted in residents’ files reviewed.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Waste is collected by a contracted service provider. A large skip bin was evident in the corner of the property. Appropriate signage is displayed where necessary. The manager purchases all chemicals and cleaning products (four products only used) and provides relevant training for staff. Material data sheets were available where chemicals are stored and in the sluice room and staff interviewed knew what to do should any chemical spill event occur. A spill kit was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personal protective clothing and equipment (PPE) and staff were observed using this. Storage for PPE was accessible and there were adequate stores available for replenishing the current stores visible and in use around the facility.  Additional PPE stores of gloves, aprons and masks were available in the storeroom for emergency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publicly displayed with an expiry dated 22 June 2020.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and confirmed in documentation reviewed. On visual inspection, the internal and external environment is maintained. The external courtyard is a decked area. There are level pathways at the entrance to the facility.  Residents are able to walk up the driveway to the street and can easily walk around the block safely without crossing any roads.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hazard free and residents were safe with independence promoted. </w:t>
            </w:r>
          </w:p>
          <w:p w:rsidR="00EB7645" w:rsidRPr="00BE00C7" w:rsidP="00BE00C7">
            <w:pPr>
              <w:pStyle w:val="OutcomeDescription"/>
              <w:spacing w:before="120" w:after="120"/>
              <w:rPr>
                <w:rFonts w:cs="Arial"/>
                <w:b w:val="0"/>
                <w:lang w:eastAsia="en-NZ"/>
              </w:rPr>
            </w:pPr>
            <w:r w:rsidRPr="00BE00C7">
              <w:rPr>
                <w:rFonts w:cs="Arial"/>
                <w:b w:val="0"/>
                <w:lang w:eastAsia="en-NZ"/>
              </w:rPr>
              <w:t>This aged care setting is appropriate to the resident group. All residents were mobile. Residents confirmed that they know the processes they should follow if any repairs or maintenance is required and that any requests are appropriately actioned. They were pleased with the environment. Repairs are ‘closed off’ when addressed by the manager and/or assistant manager or preferred providers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bathrooms and toilet facilities throughout the rest home. This includes two large showers one of which has been totally upgraded. Accessible toilets are close to residents’ rooms. All three double rooms have their own toilet and hand basin. All single rooms have hand basins except for five that have their own toilet and hand basin.  Staff toilets and visitor toilets are available and labelled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around within their bedrooms safely. All bedrooms provide single accommodation except for three designated double rooms (couples only).  Rooms were personalised with furnishings, photographs and other personal items on display.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 is spacious and enables easy access for residents and staff. Residents can access areas for privacy. There is one other smaller lounge dining area that can be used for visitors and/or quiet times. The furniture in the lounges and dining room was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onsite. Residents’ personal clothing is also done at the facility in the laundry provided. The laundry is small but functional. Staff are responsible for the laundry and cleaning seven days a week. Care staff interviewed demonstrated a sound knowledge of the laundry processes, dirty and clean flow and handling of any soiled linen. </w:t>
            </w:r>
          </w:p>
          <w:p w:rsidR="00EB7645" w:rsidRPr="00BE00C7" w:rsidP="00BE00C7">
            <w:pPr>
              <w:pStyle w:val="OutcomeDescription"/>
              <w:spacing w:before="120" w:after="120"/>
              <w:rPr>
                <w:rFonts w:cs="Arial"/>
                <w:b w:val="0"/>
                <w:lang w:eastAsia="en-NZ"/>
              </w:rPr>
            </w:pPr>
            <w:r w:rsidRPr="00BE00C7">
              <w:rPr>
                <w:rFonts w:cs="Arial"/>
                <w:b w:val="0"/>
                <w:lang w:eastAsia="en-NZ"/>
              </w:rPr>
              <w:t>There is one locked cupboard for cleaning materials, for example, glass cleaner. Chemicals are in refillable containers which are wall mounted and labelled. The cleaning trolley is stored when not in use. Staff have received chemical training provided by the manager (health and safety representative). Material data sheets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their/their relatives personal clothes are managed effectively and returned in a timely manner. There are separate named baskets for each individual resident. When linen is folded and placed in the baskets these are given out by staff and put away in the residents’ own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guidelines for all emergency planning, preparation and response are accessible. Disaster and civil defence planning guides direct the facility in their preparedness for disasters and described the procedures to be followed in the event of a fire or other emergency. The current fire evacuation plan was approved by the New Zealand Fire Service on the 3 October 2002.  A fire evacuation drill takes place six monthly with a copy sent to the New Zealand Fire Service. Records were reviewed. A discussion with all staff was held post fire drill and this was documented and sighted. The last fire drill was recorded as the 27 February 2019.The orientation programme includes fire safety and security training.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torches, PPE resources, mobile phones, linen and a gas barbecue were sighted and meet the requirements for the 22 residents and one boarder at this facility. Water storage (a tank) meets the requirements of the local council. There is no generator on site. Gas hot water heating is available throughout the facility. Emergency lighting is available. These resources are regularly tested and recordings were validated.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 and families reported staff respond in a timely manner. Call bells were observed in all service areas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were in place. Door and windows are locked at a predetermined time and the facility is checked by staff. Close circuit television cameras (CCTV) are evident around the facility in the communal areas. Residents and family are informed of camera surveillance and appropriate signage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A heat pump is visible in the main lounge and dining area. Gas wall heaters are in the hallways and individual electric heaters are visible in resident’s individual rooms in use. An even temperature is maintained. All bedrooms have an external window and natural light. Areas were warm and well ventilated during the audit and residents and families interviewed confirmed that the facility is maintained at a comfortable temperature. Blinds and curtains are at the windows.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infection prevention and control (IPC) programme to minimises the risk of infection to residents, staff and visitors. The programme is guided by a comprehensive and current infection control manual, with input from the local DHB as required.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designated infection control coordinator (ICC), whose role and responsibilities are defined in a job description. Infection control matters, including surveillance results, are reported monthly to the manager and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with an infectious condition, not to enter the facility. The infection control manual provides guidance for staff about how long they must stay away from work if they have been unwell with an infectious condition. There were no infection outbreaks reported since the last audit. Interviewed staff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and knowledge for the role and has been in this role for three years.  The ICC has attended relevant study days, as verified in training records. Additional support and information are accessed from the infection control team at the local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when required. Infection control emergency supplies were sighted in the store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within the past year and include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ICC. Content of the training is documented and evaluated to ensure it is relevant, current and understood. Education evaluation forms were sighted. A record of attendance was maintained. When there is an increase in infection incidents, there was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have an infectious condition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wound infections, the upper and lower respiratory tract and eye infections. The ICC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This is reported to the manager.</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are conducted by the ICC and any identified needs are addressed appropriately. Internal audit records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is the RN who provides support and oversight for enabler and restraint management in the facility. The RN understood the organisation’s policies, procedures and practice and the responsibilities of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no restraints or enablers were in use.  No restraint or enablers have been used for five years. Enablers, when in use, were the least restrictive and used voluntarily at the individual residents’ request. Restraint is used as a last resort when all alternatives have been explored.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4"/>
        <w:gridCol w:w="1280"/>
        <w:gridCol w:w="6182"/>
        <w:gridCol w:w="2694"/>
        <w:gridCol w:w="16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 control system in place to manage policies and procedures. However the system only reflects documents that have been updated by the contracted quality consultant. Policies and procedures requiring annual and/or two yearly reviews are not currently recorded and the review dates are not documented to evidence currency. Al policies are recorded in each manual reviewed as being reviewed annually by the manager. Duplication was evident in the manuals reviewed. The documents reviewed onsite at audit were not in the appropriate manuals when needing to be replaced. Changed documents were kept in one folder. The obsolete documents were not removed at the time the policy was changed.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interviewed does not have clear understanding of documentation control requirements. The reviewed and amended policies and procedures were not replaced in the quality manuals reviewed. Obsolete policies and procedures were not removed and duplication of policies and procedures was evident.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hard copy policies and procedures and manuals for staff to access are current and up-to-date and that the current system is reviewed and maintained appropriately.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to services is facilitated by the manager. The RN is responsible for the admission process and documentation once admission criteria is met. Prospective residents are given the service brochure at inquiry stage. The service brochure for the service has outdated information on services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brochure has outdated and inadequate information about the services provided by the facility.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an updated service brochure with accurate information on the services provided by the service.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completed by the RN fortnightly when medication packs are received from pharmacy. All caregivers who administer medication have current medication administration competencies. The RN is responsible for conducting the medication administration competencies for the caregivers. However, an improvement is required to ensure that the RN’s medication administration competency is renewed annually as per current medication management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does not have current medication administration competency in place as per medication management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RN’s annual medication administration competency is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Culturally specific meals are provided for the residents. Personal food preferences, any special diets and modified texture requirements are made known to kitchen staff and accommodated in the daily meal plan. Special equipment, to meet residents’ nutritional needs, is available.  The menu in use was not reviewed by the dietitian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has not been reviewed by the dietitian within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menu is reviewed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Rosaria Rest Home 2006 Limited - Rosaria Rest Home</w:t>
    </w:r>
    <w:bookmarkEnd w:id="58"/>
    <w:r>
      <w:rPr>
        <w:rFonts w:cs="Arial"/>
        <w:sz w:val="16"/>
        <w:szCs w:val="20"/>
      </w:rPr>
      <w:tab/>
      <w:t xml:space="preserve">Date of Audit: </w:t>
    </w:r>
    <w:bookmarkStart w:id="59" w:name="AuditStartDate1"/>
    <w:r>
      <w:rPr>
        <w:rFonts w:cs="Arial"/>
        <w:sz w:val="16"/>
        <w:szCs w:val="20"/>
      </w:rPr>
      <w:t>19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