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Norfolk Court Home &amp; Hospital - Norfolk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Norfolk Court Home &amp;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Norfolk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August 2019</w:t>
      </w:r>
      <w:bookmarkEnd w:id="7"/>
      <w:r w:rsidRPr="009418D4">
        <w:rPr>
          <w:rFonts w:cs="Arial"/>
        </w:rPr>
        <w:tab/>
        <w:t xml:space="preserve">End date: </w:t>
      </w:r>
      <w:bookmarkStart w:id="8" w:name="AuditEndDate"/>
      <w:r w:rsidR="00A4268A">
        <w:rPr>
          <w:rFonts w:cs="Arial"/>
        </w:rPr>
        <w:t>28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Norfolk Court can provide rest home, hospital and dementia care for up to 63 residents. There have been some minor changes since the last audit. The facility has had a number of improvements made regarding refurbishments and maintenance and a new clinical nurse coordinator role has been developed.</w:t>
      </w:r>
    </w:p>
    <w:p w:rsidRPr="00A4268A">
      <w:pPr>
        <w:spacing w:before="240" w:line="276" w:lineRule="auto"/>
        <w:rPr>
          <w:rFonts w:eastAsia="Calibri"/>
        </w:rPr>
      </w:pPr>
      <w:r w:rsidRPr="00A4268A">
        <w:rPr>
          <w:rFonts w:eastAsia="Calibri"/>
        </w:rPr>
        <w:t>This unannounced surveillance audit was conducted against a sub set of the health and disability standards and the organisations contract with the district health board. The audit included samples of staff, residents, management and administration records. Residents, family members, a general practitioner and staff were interviewed. Support interventions, staff meetings, meal services and activities were observed. The managing director was present throughout the audit. Previously identified areas of improvement were followed up.</w:t>
      </w:r>
    </w:p>
    <w:p w:rsidRPr="00A4268A">
      <w:pPr>
        <w:spacing w:before="240" w:line="276" w:lineRule="auto"/>
        <w:rPr>
          <w:rFonts w:eastAsia="Calibri"/>
        </w:rPr>
      </w:pPr>
      <w:r w:rsidRPr="00A4268A">
        <w:rPr>
          <w:rFonts w:eastAsia="Calibri"/>
        </w:rPr>
        <w:t xml:space="preserve">There are two areas which now require further improvements. These include the timeframes for completing assessments and care plan reviews and the management of controlled drugs. Both these areas were identified during the last audit and are yet to be fully addressed. No additional areas of improvement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Management and staff communicate in an open manner and residents and family members are kept up-to-date. Residents have access to interpreter services if required. Open disclosure is evident in event records sampled. The rights of residents or their legal representatives to make a consumer complaint is understood, respected, and upheld.  An up-to-date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have been no changes in governance since the last audit. Organisational performance is monitored by the directors. The required policies, procedures are documented and accessible. The quality and risk management system has been maintained and continues to generate improvements in practice and service delivery. The organisation implements an internal monitoring programme. Corrective actions are developed where a short fall is identified. Risks are identified and managed accordingly. The adverse event reporting system provides comparable benchmarking data. </w:t>
      </w:r>
    </w:p>
    <w:p w:rsidRPr="00A4268A">
      <w:pPr>
        <w:spacing w:before="240" w:line="276" w:lineRule="auto"/>
        <w:rPr>
          <w:rFonts w:eastAsia="Calibri"/>
        </w:rPr>
      </w:pPr>
      <w:r w:rsidRPr="00A4268A">
        <w:rPr>
          <w:rFonts w:eastAsia="Calibri"/>
        </w:rPr>
        <w:t xml:space="preserve">The human resource management system has been maintained and is consistent with accepted practice.  There is a clearly documented rationale for determining staff levels and staff mix to provide safe service delivery for all residents. </w:t>
      </w:r>
    </w:p>
    <w:p w:rsidRPr="00A4268A">
      <w:pPr>
        <w:spacing w:before="240" w:line="276" w:lineRule="auto"/>
        <w:rPr>
          <w:rFonts w:eastAsia="Calibri"/>
        </w:rPr>
      </w:pPr>
      <w:r w:rsidRPr="00A4268A">
        <w:rPr>
          <w:rFonts w:eastAsia="Calibri"/>
        </w:rPr>
        <w:t>Individual resident records are maintained. Entries into records meet the requirements of this standard.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(RNs) are responsible for completing nursing assessments, care planning and evaluations. InterRAI trained nurses complete the interRAI assessments. </w:t>
      </w:r>
    </w:p>
    <w:p w:rsidRPr="00A4268A" w:rsidP="00621629">
      <w:pPr>
        <w:spacing w:before="240" w:line="276" w:lineRule="auto"/>
        <w:rPr>
          <w:rFonts w:eastAsia="Calibri"/>
        </w:rPr>
      </w:pPr>
      <w:r w:rsidRPr="00A4268A">
        <w:rPr>
          <w:rFonts w:eastAsia="Calibri"/>
        </w:rPr>
        <w:t>The planned activities provided are appropriate to meet the needs, age, culture, and setting of the service. The activities reflect ordinary patterns of life and include involvement of other representatives and community groups.</w:t>
      </w:r>
    </w:p>
    <w:p w:rsidRPr="00A4268A" w:rsidP="00621629">
      <w:pPr>
        <w:spacing w:before="240" w:line="276" w:lineRule="auto"/>
        <w:rPr>
          <w:rFonts w:eastAsia="Calibri"/>
        </w:rPr>
      </w:pPr>
      <w:r w:rsidRPr="00A4268A">
        <w:rPr>
          <w:rFonts w:eastAsia="Calibri"/>
        </w:rPr>
        <w:t>The service uses pre-packaged medication and a paper-based medicine management system. Medication is administered by staff with current medication competencies. Medication reviews are completed by the general practitioners (GPs) as required.</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Snacks are available for residents if needed throughout the night. All aspects of food procurement, production, preparation, storage, transportation, delivery and disposal comply with current legislation and guidelines. There is a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clear and detailed documented guidelines on the use of restraints, enablers and challenging behaviours. The use of restraint is minimised. Records sampled demonstrate safe restraint and enabler use. All staff receive the required training, including the management of challenging behaviour. Environmental restraint is in place for residents in the secure dementia unit in the form of coded locked doors however visitors come and go as they please.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data is collated monthly, analysed and reported. The type of infection surveillance undertaken is appropriate to the size and type of the service. Results of the surveillance are acted upon, evaluated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4"/>
        <w:gridCol w:w="1280"/>
        <w:gridCol w:w="102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meets the requirements of consumer legislation. Residents and family members interviewed confirmed access to the complaint’s procedure and stated they would feel comfortable making a complaint if required. The complaint forms are readily available, as are contact details for the national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has been maintained. This includes the nature of the complaint, actions and outcomes. There have been four complaints added to the register since the last audit. Two of these were found to be partially substantiated with the required remedial actions implemented. The managing director continues to acknowledge each complaint in writing and includes Norfolk Courts responsibilities. Apology letters were sighted, in the event the complaint has been substantiated. There was also evidence of advocacy involvement in complaint records sampled and family notifications were made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reported that there have been no complaints made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access to interpreting services for the residents if this is required. These services can be provided through the DHB. Policies and procedures are in place if interpreter services are required. There were no residents requiring interpreter services at the time of the audit. There was evidence of open disclosure in the adverse event records sampled. Residents and family members interviewed reported they are informed of any events or concerns and that management was easily accessible and responsive to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Ownership and management of Norfolk Court has not changed since the last audit. Both owners/directors are on site daily and maintain up to date with current trends in the aged care sector through attendances at regional provider meetings, membership with the aged care association and quarterly benchmarking meetings with other providers. The mission statement for the organisation has remained the same. The managing director is currently drafting the 2019-2020 business plan which aligns with the financial year. The draft was sighted and demonstrated consideration regarding the strategic direction for the organisation. The directors are supported by the clinical team.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closely monitored. Monthly management meetings are conducted with representation from across the organisation and chaired by the managing director. These meetings are used to discuss business performance, facility management and organisational and clinical risk. The managing director has recently developed a quality framework, which demonstrates an ongoing commitment to improvement processes.</w:t>
            </w:r>
          </w:p>
          <w:p w:rsidR="00EB7645" w:rsidRPr="00BE00C7" w:rsidP="00BE00C7">
            <w:pPr>
              <w:pStyle w:val="OutcomeDescription"/>
              <w:spacing w:before="120" w:after="120"/>
              <w:rPr>
                <w:rFonts w:cs="Arial"/>
                <w:b w:val="0"/>
                <w:lang w:eastAsia="en-NZ"/>
              </w:rPr>
            </w:pPr>
            <w:r w:rsidRPr="00BE00C7">
              <w:rPr>
                <w:rFonts w:cs="Arial"/>
                <w:b w:val="0"/>
                <w:lang w:eastAsia="en-NZ"/>
              </w:rPr>
              <w:t>The rest home is certified to provide 63 residential beds. This includes 35 dual purpose beds (for residents requiring either rest home or hospital level care), seven designated rest home level beds and a 15-bed secure dementia unit (the Haven). A number of the dual purpose and rest home rooms can operate as double rooms if required. There were 47 residents on the day of the audit. This included 15 residents in the Haven, 17 residents occupying hospital level beds and 15 residents occupying rest home beds.  Norfolk Court can also provide respite services, long term and short term stays if required. There is one resident under the residential respited contract at the time of the audit. There were no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quality and risk management system remains compliant to requirements of this standard and the contract with the DHB. The required policies and procedures are documented and accessible. There is a system for developing, amending and approving new documents. Documents are controlled and obsolete documents are removed from circulation.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activities are completed. All quality related data is collated and trends identified. Resident satisfaction surveys are conducted and there is sufficient evidence that feedback regarding the results of surveys, and any related corrective actions, have been shared with the residents during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maintains a comprehensive schedule of all monitoring and performance requirements. This includes the implementation of routine, and extraordinary, internal audits. The organisation is also registered with a benchmarking group where clinical indicators are set and measured on a quarterly basis. This includes eight providers in the area with benchmarking data closely linked with clinical outcomes and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routine internal audit programme. In addition, a comprehensive internal audit was completed by the managing director in April 2019. This included resident files and safe clinical management and compared similar data from 2018 with areas of improvement and areas not yet achieved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improvements are made in an ongoing manner. The organisation has maintained a clinical quality initiative register since 2017 which provides evidence of all the ongoing changes, risk and improvements to the system. This also provides evidence of corrective actions following the identification of any breach in process.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risk is documented. A review of organisational risks was completed by the managing director in May 2019. The review identified all current organisational risks and strategies. A significant identified risk to the organisation remains the recruitment and retention of registered nurses. There is evidence of risk monitoring in meetings minutes sampled. There is a health and safety programme which aligns with current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adverse events. All staff have access to the adverse event reporting process. Clinically related events are forwarded to the clinical nurse coordinator with all others forwarded to the managing director. Events are monitored by type, time and location. This provides sufficient data to identify trends, develop targeted corrective actions and benchmark against other providers in the sector. Data on all adverse is reported at management meetings. A full analysis of all adverse events was sighted. Results are published and displayed to staff.</w:t>
            </w:r>
          </w:p>
          <w:p w:rsidR="00EB7645" w:rsidRPr="00BE00C7" w:rsidP="00BE00C7">
            <w:pPr>
              <w:pStyle w:val="OutcomeDescription"/>
              <w:spacing w:before="120" w:after="120"/>
              <w:rPr>
                <w:rFonts w:cs="Arial"/>
                <w:b w:val="0"/>
                <w:lang w:eastAsia="en-NZ"/>
              </w:rPr>
            </w:pPr>
            <w:r w:rsidRPr="00BE00C7">
              <w:rPr>
                <w:rFonts w:cs="Arial"/>
                <w:b w:val="0"/>
                <w:lang w:eastAsia="en-NZ"/>
              </w:rPr>
              <w:t>Records of adverse events were sampled. There was evidence of the required immediate actions, assessment, observations and preventative actions. Essential notifications were made as required. Serious assessment codes (SAC) are used. There is evidence that the police, Ministry of Health, DHB, general practitioner and family are notified as required. Improvements have been made to the open disclosure process in 2019 to ensure that all notifications to residents/family are made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written policies and procedures in relation to human resource management which comply with current good employment practice. Staff files sampled confirmed that the skills and knowledge required for each position is documented in job descriptions. Job descriptions outline accountability, responsibilities and authority. </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for recruitment screening and the validation of professional qualifications for both employed and external health professionals. Staff receive an orientation to the facility and to their respective role. The orientation programme includes the essential components of service delivery, including emergency procedures. A buddy programme is implemented and records of buddy training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givers are required to commence the national certificate in working in aged care within six months of commencement. Staff working in the dementia unit have either commenced, or have completed the required dementia related qualifications. All registered nurses are required to have a medication competency, as are the care givers who work in the dementia unit. The required competencies were sighted. All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programme of on-going education. The programme has been maintained and resources are well documented. A training planner is developed annually and meets the contract requirements in terms of topics to be covered and hours to be maintained. The previously identified area of improvement regarding low attendance at mandatory training was addressed. The organisation now conducts quarterly one-day compliance training. This is a one-day training which includes all the required mandatory topics. Records of training days sampled confirmed an improvement in attendance.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All staff have an annual performance appraisal. There is a process for determining who is due for their appraisals and records are maintained regarding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 combination of management, registered nurses, care givers, administration and housekeeping staff (including maintenance). The largest group of employees is care giver staff with a total of 30.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had a high turnover of registered nurses over the past two years resulting in difficulties completing assessment and care plan review requirements (refer standard 1.3.3). The managing director has identified these concerns to the both the Ministry of Health and the DHB. There are currently five registered nurses, with three trained in interRAI, one of whom is the clinical nurse manager who is currently on long leave. The clinical nurse coordinator is now completing the nurse manager’s tasks. There are currently two nursing vacancies which will be filled once the new nurses have completed their competency assessment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allocation policy and procedure reflects contract requirements. Rosters were sampled and confirmed that the current staffing numbers meet contractual requirements.  There are two care givers rostered in the Haven during morning and afternoon shifts, and one during the night. There are five staff on the roster in the rest home and hospital during the morning shift, four rostered in the afternoon and two during the night. There is a one registered nurse per shift plus the clinical nurse coordinator being rostered accordingly to cover both clinical and management duties. The registered nurses have also been allocated four shifts per week to address care planning, updating and reviewing care plans. A registered nurse is also rostered a shift to attend the weekly medical clinic. There is evidence that all unplanned absences are covered.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current and previous residents are securely maintained. Residents' demographic information is documented on entry.  The admission assessment includes verification and documentation of individual resident information. The sample of residents’ records indicates that they include reports from all health professionals. Records are integrated in the one file. Entries are legible, dated, signed and designated. Staff are required to write a progress notes during each shift, with additional entries if there has been a change or specific event. Progress notes were sampled and confirmed routine entries per shift. The date and designation of the writer were documented. The previously identified area of improvement regarding time of entry in resident records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 safe system for medicine management using paper-based system was observed on the day of audit. The staff observed administering medicines demonstrated good knowledge and had a clear understanding of their roles and responsibilities related to each stage of medicine management. All staff who administer medicines have completed a medication competency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Medication reconciliation is conducted by the RNs. All medications sighted were within current use by dates. The records of temperature monitoring for the medicine fridge were sighted. No vaccines are kept onsite. Clinical pharmacist input is sought when required. Controlled drugs are stored securely in accordance with requirements and checked by two staff for accuracy when administering.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‘as required’ (PRN) medicines are met. The required three-monthly medication reviews were consistently recorded on the medicine charts.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nasal spray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ensuring that weekly and six-monthly controlled drugs stock checks are consistently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Food temperatures, including for high risk items, are monitored appropriately and recorded consistently. The cook has undertaken a safe food handling qualification, with kitchen assistants completing relevant food handling training. Cleaning schedules are in place and completed regularly. The kitchen was clean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service and a dietary profile developed.  The personal food preferences, any special diets and modified texture requirements are made known to kitchen staff and accommodated in the daily meal plan.  Residents in the secure dementia unit always have access to food and fluids to meet their nutritional needs 24 hourly.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on the audit, residents were given sufficient time to eat their meal in an unhurried fashion and those requiring assistance had this provided. Evidence of resident satisfaction with meals was verified by residents and family in interviews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met assessed needs and desired goals/outcomes. Significant changes are reported in a timely manner and prescribed orders carried out satisfactorily as confirmed by the GP. Interventions sighted in care plans sampled were consistent with good practice. Progress notes are completed every shift by the caregivers and weekly or when required by the clinical nurse coordinator. A range of equipment and resources were available, suited to the level of care provided and in accordance with the residents’ needs. Staff confirmed they have access to the supplies and products they needed. Monthly observations are completed and are up to date. Interviewed family members and residents reported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completes the activities assessment for all residents on admission with the help of the residents and/or family where appropriate. A preadmission form that provides information on past and present hobbies is given to prospective residents at inquiry stage and they bring it back completed at time of admission. A social assessment and history are undertaken on admission to ascertain residents’ needs, interests, abilities and social requirements. Individual activities plans were sighted in sampled files. There is a monthly and weekly activities programme completed by the activity coordinator. The weekly activities programme is posted on the notice board for residents’ easy access. Daily activity plans are written on the white board each day </w:t>
            </w:r>
          </w:p>
          <w:p w:rsidR="00EB7645" w:rsidRPr="00BE00C7" w:rsidP="00BE00C7">
            <w:pPr>
              <w:pStyle w:val="OutcomeDescription"/>
              <w:spacing w:before="120" w:after="120"/>
              <w:rPr>
                <w:rFonts w:cs="Arial"/>
                <w:b w:val="0"/>
                <w:lang w:eastAsia="en-NZ"/>
              </w:rPr>
            </w:pPr>
            <w:r w:rsidRPr="00BE00C7">
              <w:rPr>
                <w:rFonts w:cs="Arial"/>
                <w:b w:val="0"/>
                <w:lang w:eastAsia="en-NZ"/>
              </w:rPr>
              <w:t>There are group activities and individual activities for rest home and hospital level residents. Activities for residents from the secure dementia unit are specific to the needs and abilities of the people living with dementia. Activities are offered at times when residents are most physically active and/or restless. Twenty-four-hour care plans were in place for residents in the dementia unit. There are also combined activities for rest home, hospital and dementia level residents when external entertainers are performing. Residents have access to community events and community outings.</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participation register that is completed daily and activity plans are evaluated six-monthly by the activity coordinator. Records were sighted in sampled files. Residents were observed participating in various activities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involved in evaluating and improving the programme through residents’ meetings and satisfaction surveys as confirmed by meeting minutes sighted. Interviewed residents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caregivers. If any change is noted, it is reported to the RN. There is a process for evaluating the long-term care plans and interRAI assessments six-monthly, however the timeframes were not consistently completed (refer 1.3.3.3).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plan of care. Examples of short-term care plans being consistently reviewed, and progress evaluated as clinically indicated were noted for urinary infections and wounds. Short term care plans are evaluated regularly and closed off when the condition has resolved, or issues are transferred to long term care plan if indicated. Residents and family members interviewed confirmed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 current building warrant of fitness and approved evacuation plan was sighted. Trail evacuations are completed every six months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remains appropriate for the size and complexity of the organisation. Infection data is collected, monitored and reviewed monthly. The data is collated and analysed to identify any significant trends or common possible causative factors. All results of surveillance and specific recommendations are to assist in achieving infection reduction and prevention outcomes. These are acted upon, evaluated and reported to relevant personnel and management in a timely manner. Staff interviewed reported that they are informed of infection rates at monthly staff meetings and through compiled reports. Data regarding all types and categories of audits is used for benchmarking purposes and communicated across the organisation. There was also evidence that the organisation researches and follows up on any concerns regarding best practice for diagnosing and treating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aims to minimise the use of restraint. A current restraint register was sighted. All staff receive training regarding restraint, enablers and challenging behaviours. Risk minimisation is documented in the care plans of the residents and restraint/enabler use is evaluated regularly. The family and residents are fully informed about the restraint process. All restraints are approved, assessed and used safely. At the time of the audit there were seven residents using an approved restraint The Haven provides a secure environment where residents can safely wander within the unit and outdoor areas.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8"/>
        <w:gridCol w:w="1280"/>
        <w:gridCol w:w="6532"/>
        <w:gridCol w:w="2055"/>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drugs are administered as per controlled drugs administration guidelines. Documentation of administered controlled drugs was sighted in the controlled drugs register, medication signing charts and residents’ progress notes. The controlled drugs were being reconciled weekly when they are received from the pharmacy, but the required weekly and six-monthly stock checks were not completed consistently. The previous audit identified the same area for improvement, and it was closed off by the DHB in March 2019 as reported by the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and six-monthly stock checks were not completed consistently in the controlled drugs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weekly and six-monthly controlled drugs stock checks are completed consistently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timeframes of completion of initial interRAI assessments, six-monthly evaluations and six-monthly care plan evaluations were being monitored by the local DHB. This audit identified that the required timeframes for the same areas are still not met. There are three interRAI trained nurses and there is a system in place to address the identified interRAI assessments and care plan evaluation requirements. The risk rating has not been raised in consideration of the ongoing work and monitoring which is being conducted to address the situation.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interRAI assessments were overdue for six monthly review and one new admission did not have interRAI assessment completed within three weeks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interRAI assessments and care plan evaluations are completed within the timeframes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Norfolk Court Home &amp; Hospital - Norfolk Court Rest Home</w:t>
    </w:r>
    <w:bookmarkEnd w:id="58"/>
    <w:r>
      <w:rPr>
        <w:rFonts w:cs="Arial"/>
        <w:sz w:val="16"/>
        <w:szCs w:val="20"/>
      </w:rPr>
      <w:tab/>
      <w:t xml:space="preserve">Date of Audit: </w:t>
    </w:r>
    <w:bookmarkStart w:id="59" w:name="AuditStartDate1"/>
    <w:r>
      <w:rPr>
        <w:rFonts w:cs="Arial"/>
        <w:sz w:val="16"/>
        <w:szCs w:val="20"/>
      </w:rPr>
      <w:t>28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