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The Beachfront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Beachfront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2019</w:t>
      </w:r>
      <w:bookmarkEnd w:id="7"/>
      <w:r w:rsidRPr="009418D4">
        <w:rPr>
          <w:rFonts w:cs="Arial"/>
        </w:rPr>
        <w:tab/>
        <w:t xml:space="preserve">End date: </w:t>
      </w:r>
      <w:bookmarkStart w:id="8" w:name="AuditEndDate"/>
      <w:r w:rsidR="00A4268A">
        <w:rPr>
          <w:rFonts w:cs="Arial"/>
        </w:rPr>
        <w:t>7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 the 5 August 2019 the service was authorised by the MoH to accept hospital level residents (39 dual purpose beds and 16 rest home beds); total beds increased to 55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Beachfront Rest Home provides rest home and hospital level care (from the 5 August 2019) for up to 55 residents. The service is operated by Henrikwest Management Limited and is managed by a general manager who is the temporary facility manager for this site. The group consists of three facilities. A clinical manager currently works three days a week at this facility and two days at another facility.</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Waitemata District Health Board.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 audit has resulted in no areas identified as requiring improvement; however, three improvements identified in the last partial provisional audit remain open in relation to the addition of dual-purpose beds including staffing, activities resources and a lift to be replaced.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adequate information about the Health and Disability Commissioner’s Code of Health and Disability Consumers’ Rights (the Code) and these are respected. Services are provided that support privacy, dignity, independence and individuality.</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to give consent.</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There are no barriers identified for Maori being admitted to this service. There was no evidence of abuse, neglect and/or discrimination. Staff receive appropriate training.</w:t>
      </w:r>
    </w:p>
    <w:p w:rsidRPr="00A4268A">
      <w:pPr>
        <w:spacing w:before="240" w:line="276" w:lineRule="auto"/>
        <w:rPr>
          <w:rFonts w:eastAsia="Calibri"/>
        </w:rPr>
      </w:pPr>
      <w:r w:rsidRPr="00A4268A">
        <w:rPr>
          <w:rFonts w:eastAsia="Calibri"/>
        </w:rPr>
        <w:t>The service has linkages with a range of specialist healthcare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is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registered nurse and the general practitioner assess residents’ needs on admission. The care plans are individualised based on a comprehensive range of information and accommodate any new problems that might arise. Records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diets and events being catered for. Food is safely managed. The service has a food control plan displayed. Residents verified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 enablers were in use at the time of audit. Use of enablers is voluntary for the safety of residents in response to individual requests.  The restraint committee meet six monthly to review the use of enablers.  No restraints were in use. Policy identifies that comprehensive assessment, approval and monitoring process meet restraint standard requirements.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who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surveillance is undertaken monthly and results are reported to management.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2"/>
        <w:gridCol w:w="1280"/>
        <w:gridCol w:w="93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Beachfront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residents to be independent and maintaining dignity and privacy at all times. Training on the Code is included as part of the orientation process for all new staff employed and is in ongoing education and training that was verified in the training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was defined and documented, as relevant, in the resident’s record.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Volunteers from the community visit on a regular basis. Family members interviewed stated they felt welcome when they visited and comfortable in their dealings with staff.  Residents and family have access to the main lounge and have access to the outside garden and seating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Complaints forms are available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17 verbal complaints had been received over the past year and that actions taken, through to an agreed resolution, were documented and completed within the timeframes.  All complaints are documented by staff and action plans showed any required follow up and improvements have been made where possible.  The clinical nurse manager and general manager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information pack provided on admission and discussion with the registered nurses. The Code is clearly displayed in all service areas and pamphlets on how to make a complaint, the Code and advocacy services were accessible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their own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community activities, and participation in ay clubs or services in the community.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confirmed that each resident’s individual cultural, religious and social needs, values and beliefs had been identified and documented into their individual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service’s policy on abuse and neglect which included what to do should there be any signs. Education on abuse and neglect was confirmed to occur at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senior registered nurse interviewed reported that there were no residents who identified as Maori at the time of audit. There were no staff who identified as Maori. There are no barriers in supporting residents who are admitted to the facility who identify as Māori.  The Maori cultural policy states that there is a specific current Māori health plan, and all values and beliefs are acknowledged with the support of the Te Whare Tapa Wha model and would then be integrated into a resident’s long-term care plans, when needed.  Guidance on tikanga best practice is available and is supported by the Maori health advisors at Waitemata District Health Board (WDHB) if and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spiritual beliefs. The resident satisfaction survey confirmed that individual needs are being met. Family confirmed that ethnic, cultural values and beliefs were effectively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Policies and procedures were consistently reviewed and the facility manager approves all documents prior to implementation.</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day to day discussions between staff, residents and relatives.  One resident interviewed stated that staff when providing support with daily activities of living, ensured that her privacy was maintained at all times. Staff were observed maintaining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through the WDHB and the contact number was available. Staff interviewed stated that interpreter services were however rarely required due to all residents able to speak English and staff being able to provide interpretation as and when needed.  The senior registered nurse interviewed stated that there was good communication with families/whanau and families interviewed confirmed this.  The GP interviewed also confirmed that communication was not compromised at any time with the nursing staff and others. </w:t>
            </w:r>
          </w:p>
          <w:p w:rsidR="00EB7645" w:rsidRPr="00BE00C7" w:rsidP="00BE00C7">
            <w:pPr>
              <w:pStyle w:val="OutcomeDescription"/>
              <w:spacing w:before="120" w:after="120"/>
              <w:rPr>
                <w:rFonts w:cs="Arial"/>
                <w:b w:val="0"/>
                <w:lang w:eastAsia="en-NZ"/>
              </w:rPr>
            </w:pPr>
            <w:r w:rsidRPr="00BE00C7">
              <w:rPr>
                <w:rFonts w:cs="Arial"/>
                <w:b w:val="0"/>
                <w:lang w:eastAsia="en-NZ"/>
              </w:rPr>
              <w:t>There were residents who had significant sensory impairments which were reflected on the long term care plans reviewed. The care plans reviewed showed interventions and equipment was provided to promote ongoing independence, communication and support. Staff interviewed knew the residents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quality and business plans, which are reviewed annually, outline the purpose, values, scope, direction and goals of the organisation. The documents describe annual and longer term objectives and the associated operational plans. A sample of monthly and quarterly reports to the senior management group which includes the owner/director, showed adequate information to monitor performance is reported including quality data results, staffing, complaints, quality improvements made,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general manager who is also undertaking the role of facility manager on a temporary basis until this role is filled and the clinical nurse manager. Both staff hold relevant qualifications. The general manager has been in the role for over five years and the clinical nurse manager, who works across two sites owned by the same owner/director, works two rostered days a week at The Beachfront Rest Home. They have been in the role for 18 months. Responsibilities and accountabilities are defined in a job description and individual employment agreement.  Both the general manager and clinical nurse manager confirmed their knowledge of the sector, regulatory and reporting requirements and maintain currency through regular ongoing clinical and management education related to their roles. This was confirmed in education documentation sighted. There is a senior registered nurse who works 40 hours per week at the facility who oversees the day to day clinical management of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Waitemata District Health Board for rest home level care. (The service had Ministry of Health approval to offer hospital level care services the day before the audit). There were 34 rest home level care residents at the time of audit.  Thirty-two residents were receiving services under the Age Related Residential Care contract, and two residents were receiving services under the Long Term Support-Chronic Health Care Community Residential Care contract (both of these residents were under the age of 65 years)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manager/facility manager is absent, the business manager and assistant manager carry out all the required duties under delegated authority. During absences of key clinical staff, the clinical management is overseen by the senior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accidents, complaints, audit activities, a regular patient satisfaction survey, monitoring of outcomes, clinical incidents including infections, falls, wound care, skin tears, challenging behaviour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management team meetings and staff meetings. A copy of all quality data and analysis reports are available to staff in a folder in the nurses’ office.  A recent improvement relates to the forming of the ‘Viper group’. This is an electronic communication system which is completed daily to alert the general manager, clinical nurse manager, assistant manager, office manager, regional manager, owner/director, senior registered nurse and on call registered nurse of any concerns that arise so they are informed on a real-time basis. A detailed weekly report is also shared with this group to ensure any trends are identified early. This improvement is yet to be evaluated.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being members of specific groups such as restraint/infection control/health and safety and the implementation of corrective actions. Relevant corrective actions are developed and implemented to address any shortfalls. Resident and family satisfaction surveys are completed annually. The most recent survey (June 2019) showed that 100% satisfaction was gained with all services. One comment was made related to a missing piece of laundry and this was resolved by laundry staff. The positive comments related to the renovation of the facility lounge and dining areas, the type and variety of activities and the ease of access to the general manager and senior registered nurse are identified in the analysis. The general manager/facility manager stated that any concerns raised by residents or family members are followed up using the corrective action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developed and kept up to date by an off-site provider and they are based on best practice and were current. The service personalises all policies.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manager/facility manager described the processes for the identification, monitoring, review and reporting of risks and development of mitigation strategies. The manager is familiar with the Health and Safety at Work Act (2015) and has implemented requirements. The service has a health and safety group who actively maintain and review all known and newly identified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accident/incident forms reviewed showed these were fully completed, incidents were investigated, action plans developed and actions followed-up in a timely manner.  Adverse event data is collated, analysed and reported to management, clinical nurse manager, staff and families as appropriate. They are also included in the weekly quality review report sent to the members of the Viper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manager/facility manager and the clinical nurse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and any other notifications, such as infection outbreaks, during this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service is actively recruiting registered nurses prior to commencing hospital level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Newly employed staff have a two weekly informal meeting with the general manager/facility manager for a three month period so that the service can assist the staff member with any areas they wish to receive further development. This was confirmed during staff interviews.  Staff appraisals are undertaken annually and this process is monitored electronically by the senior registered nurse and the assistant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from a sister facility is the internal assessor for the programme. Staff training and education is well documented and occurs both on-site and off-site. On-site education includes guest speakers such as the gerontology nurse specialist from Waitemata DHB and staff attend training days at the hospice for palliative care and specific age-related training via Waitemata DHB community training events. There are two trained and competent registered nurses who are maintaining their annual competency requirements to undertake interRAI assessments and one registered nurse who is part way through her interRAI training. Records reviewed demonstrated completion of the required training and completion of annual performance appraisals related to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general manager/facility manager and owner/director are aware that the service is not able to admit hospital level care residents until they are able to provide 24 hour, seven day a week registered nurse cover. Observations of six weeks of staff rosters identifies that the facility adjusts staffing levels to meet the changing needs of residents. Staff are replaced in any unplanned absence.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At least one staff member on duty across all shifts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manager/facility manager, accounts manager, assistant manager and senior registered nurse work Monday to Friday for eight hours per day. The clinical nurse manager works two days a week and is on call. There are dedicated kitchen, cleaning and laundry staff seven days a week. Activities staff cover six days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including the residents’ national health index numbers are completed in the residents’ records sampled for review. Clinical notes were current and integrated with GP and allied health provider records.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when required. Residents’ records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Files reviewed contained completed demographic detail, assessments and signed admission agreements in accordance with contractual requirements. Service charges comply with contractual requirements. Residents’ agreements were provided and all were signed and dated in a timely manner and stored appropriately and confidentiality was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WDHB ‘yellow envelope’ system to facilitate transfer of residents to and from acute care services. There is open communication between services, the resident and the family/whanau and GP. A transfer letter is always documented if referred by the GP or a transfer form if an acute admission.  All referrals are documented in the progress records. The family/enduring power of attorney (EPOA) are kept well informed by the RN at the time. The ‘SBAR’ tool (a structured communication tool) is used when transferring residents to the WDHB.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hard copy records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Competencies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with weekly checks and balances being verified.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only one resident who was self-administering medicines at the time of audit (the resident is currently in the WDHB).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kitchen team and is in line with recognised nutritional guidelines for older people.  The menu follows summer and winter patterns and had been reviewed by a qualified dietitian in December 2017 and was being reviewed at the time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has a food control plan and this was audited by the Auckland City Council and expiry will be 22 January 2020 as displayed. Food temperatures, including for high risk items, are monitored appropriately and recorded as part of the plan. All cooks and kitchen assistants have completed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There are two main cooks who cover the week and are supported by kitchen hands. All meals are prepared on site and served directly to the residents in the main dining room.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and challenging behaviour, as a means to identify any deficits and to inform care planning. The sample of care plans reviewed had an integrated range of resident-related information.  All residents have current interRAI assessments.  There are two registered nurses plus the clinical nurse manager. However, there are only two registered nurses and one in training who are competent to complete the required assessments.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the momentum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Examples of short term care plans were observed such as for pyrexia, wound care and/or urinary tract infections (UTI).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addressed resident’s individualised needs was evident at this rest home. The GP interviewed verified that medical input is sought in a timely manner and that medical instructions were followed and care provided was of a high standard. Caregivers interviewed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(DT) who has been at the facility since January 2019. The DT is employed Monday to Friday 9am – 3.30pm and an activities coordinator works on Friday, Saturday and Sunday 9am to 3.30pm. Van outings are arranged on the Fridays as there are two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Residents and families are involved in evaluating and improving the programme through residents’ meetings and satisfaction surveys. Residents interviewed confirmed they find the programme very interactive and fun also stating that they are supported in individual specific activities of interest they have. There are two residents who are under 65 years of age. Activities are planned individually to ensure the two residents’ needs are able to be effectively met. Activities attendance records are maintained by the diversional therapist and the activities provided are recorded as well.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rest home are fully supported to participate in the weekly Friday van outings into the community. Specific outings are arranged such as taking one resident to the returned services association weekly for a meal.  The activities programme is planned monthly but displayed weekly in all service areas. The residents are provided with a copy for their individual rooms.  A church service is held every Friday morning. Birthdays and special events are celebrated. Additional resources will be needed when hospital level residents are admitted to the facility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or senior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weight loss and trialling of restraint.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‘resident doctor’, residents may choose to use another medical practitioner with some residents supported by one other GP.   If the need for other non-urgent services are indicated or requested, the GP or RN sends a referral to seek specialist input.  Copies of referrals were sighted in residents’ files, including to a speech language therapist, physiotherapist, diabetic or wound nurse specialists, breast clinic, radiology, skin clinic, ophthalmology clinic, radiology and/or the dietitian.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handle chemicals have completed education related to safe chemical handling.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28 May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(June 2019) and calibration of bio medical equipment (July 2019)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Repairs and maintenance is undertaken by maintenance staff with contractors being used for the upgrade and refurbishment of rooms. Residents and family stated that they were happy with the environment.  Positive comments were gained related to the environmental upgrades in the residents’ satisfaction survey carried out in June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all bedrooms having full ensuite facilities and one large bathroom in the common area. Appropriately secured and approved handrails are provided in the toilet/shower areas, and other equipment/accessories are available to promote resident independence.  As each wing is being upgraded this includes refurbishment of ensuite bathrooms.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At the time of audit all bedrooms are single occupancy.   The provider is aware that approval must be sought for bedrooms to be shared.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Whilst much of the remedial work required to meet this standard (as identified in the partial provisional audit report) has been completed, work to one of the lifts in A wing is yet to be completed and therefor this criterion attainment remains partially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room 1 and room 6 has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 is delineated by the use of flooring and furnishings. The areas have been upgraded and refurbished to ensure they meet resident needs. They provide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The dedicated laundry staff demonstrated a sound knowledge of the laundry processes, dirty/clean flow and handling of soiled linen. With the exception of one resident identifying in the resident satisfaction survey that they had one item of lost clothing, all residents at the time of audit reported the laundry is managed well and their clothes are returned in a timely manner. The laundry has been enlarged and refurbished to cater for the advent of hospital level care residents. This was a finding in the partial provisional audit and is now fully attained.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in safe chemical handling.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Ministry of Civil Defence and Emergency Management recommendations for the region are met related to appropriates stocks of water and food. The 1000 litre emergency water tank is located in the grounds.   There are also adequate supplies of blankets, mobile phones, alternative cooking such as gas BBQ if required for use in the event of a civil defence emergency. Stocks sighted meet the requirements for 55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on the 22 May 2002 and no changes have been made to the footprint since this time.  </w:t>
            </w:r>
          </w:p>
          <w:p w:rsidR="00EB7645" w:rsidRPr="00BE00C7" w:rsidP="00BE00C7">
            <w:pPr>
              <w:pStyle w:val="OutcomeDescription"/>
              <w:spacing w:before="120" w:after="120"/>
              <w:rPr>
                <w:rFonts w:cs="Arial"/>
                <w:b w:val="0"/>
                <w:lang w:eastAsia="en-NZ"/>
              </w:rPr>
            </w:pPr>
            <w:r w:rsidRPr="00BE00C7">
              <w:rPr>
                <w:rFonts w:cs="Arial"/>
                <w:b w:val="0"/>
                <w:lang w:eastAsia="en-NZ"/>
              </w:rPr>
              <w:t>A trial evacuation takes place six-monthly with a copy sent to the New Zealand Fire Service, the most recent being on 19 February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call system is currently being upgraded to allow the room number of where the call bell has been activated. This shows in the nurses’ station and in the dining room. It is connected to staff pagers. Residents and family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night as part of staff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33 bedrooms have a ranch slider door that opens onto outside gardens or a small patio area. Heating is provided by electric heater in residents’ rooms with a large gas fire in the lounge area.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the contracted laboratory service and the general practitioners who visit the facility. The infection prevention and control programme and policies and procedures are reviewed annually.  The review occurred on 22 January 2019. Information is accessible to staff.</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designated IPC coordinator whose role and responsibilities are defined in a job description reviewed. Infection control matters including infection surveillance results are reported monthly to the clinical manager and tabled at the quality meeting. Feedback is provided to the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Signage is available and used appropriately. Visitors are advised that if they are unwell not to enter the facility. The infection control manual guides staff about how long they must stay away from work if they have been unwell. Staff interviewed understood these responsibilities and the principles of infection prevention and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appropriate skills, knowledge and qualifications for the role and has been in this role for five years or more. The programme is overseen by the clinical manager. Relevant study days have been attended as verified in the staff training records reviewed. Additional support and information is accessible through the general practitioners and/or the infection control team at the DHB, the microbiologist at the contracted laboratory and/or the public health service. The clinical nurse manager is supported by the senior registered nurse and both are able to access residents’ records and diagnostic results to ensure timely treatment and resolution of any infections. The ICC confirmed the availability of resources to support the programme and any outbreaks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reviewed reflected the requirements of the infection prevention and control standard and evidences current good practice. Policies were last reviewed 22 January 2019 and included the laundry, cleaning, kitchen and care delivery. All services follow the required organisational policies such as use of hand-sanitisers, good hand-washing techniques and use of disposable personal protective resources such as gloves and aprons. Staff verified knowledge of infection control policies and practices when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when newly employed and that training is ongoing. Education is provided by the clinical nurse manager/ICC and the senior registered nurse. The team leader/caregiver interviewed shares her knowledge with care staff as well during orientation of new staff. Training is recorded and evaluated to ensure it is relevant, current and understood by the care staff. There have been no outbreaks of infection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one-on-one basis and has included reminders about handwashing and advice when the residents are unwell. Discussions are held at the staff meetings when relevant.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for the size and nature of this aged residential care facility. Surveillance includes infections such as urinary tract, soft tissue, fungal, eye, gastro-intestinal, upper and lower respiratory tract and skin conditions. The ICC reviews all reported infections and these are documented. The contracted laboratory also prints out all infections and any antibiotics used by the general practitioners. New infections and any required management plan is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if any trends exist, possible aetiology and any actions required. Results of the surveillance programme are shared with staff via the staff meetings and at staff handovers between the shifts. Graphs are produced by the assistant manager that identify trends for the coming year and comparisons against previous years and this is reported to the clinical nurse manager and to management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(senior registered nurse)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Six residents were using enablers, which were the least restrictive and used voluntarily at their request. All residents using enablers had signed consent stating they were voluntary.  Enabler use is identified on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stated that restraint is used as a last resort when all alternatives have been explored. This was evident on review of the restraint approval group minutes, files reviewed, and from interview with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7"/>
        <w:gridCol w:w="1280"/>
        <w:gridCol w:w="6355"/>
        <w:gridCol w:w="2776"/>
        <w:gridCol w:w="14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the required service provider levels and skill mixes required to provide safe service delivery. This was confirmed during a review of rosters and during interviews with staff members. Residents and family confirmed staff are always available. The facility gained approval to provide hospital level care the day prior to audit but on the days of audit all residents were receiving rest home level care. The previous partial provisional audit identified that prior to the commencement of hospital level care services being offered the service must implement the correct skill mix which requires 24 hour, seven days a week registered nurse cover. This attainment remains unmet. The need for more staff is understood by the owner/director and members of the management team and is identified in the projected roster sighted. The service is adequately staffed for the current rest home level care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24 hour, seven day a week registered nursing cover and therefore they cannot commence hospital level care until this requirement is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facility is adequately staffed to meet the increased requirements of residents who are assessed as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 to develop and maintain strengths (skills, resources and interests) that are meaningful to residents. Additional time and resources will be required for the hospital level residents authorised to be admitted to this facility. One-on-one activities will need to be provided to hospital level residents who cannot join in the group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Additional resources will be required for hospital level care residents in view of activities to be provided for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additional resources and one-on-one time is able to be allocated when hospital level care residents are admitted.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lift in A wing which will be used for hospital level care residents is currently being upgraded but the work is not completed. The general manager/facility manager stated the are seeking advice from lift installation companies to work out how this can best be made compliant. They are aware that this work must be completed prior to the upstairs A wing hospital level care beds being occupied.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lift in A wing which will be used for hospital level care residents is currently being upgraded but the work is not completed. The general manager/facility manager stated the are seeking advice from lift installation companies to work out how this can best be made compliant. They are aware that this work must be completed prior to the upstairs A wing hospital level care beds being occupied.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lift that is to be used for the transportation of hospital level care residents in A wing is upgraded to comply with current legislation and that it can be used to safely move residents around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The Beachfront Rest Home</w:t>
    </w:r>
    <w:bookmarkEnd w:id="58"/>
    <w:r>
      <w:rPr>
        <w:rFonts w:cs="Arial"/>
        <w:sz w:val="16"/>
        <w:szCs w:val="20"/>
      </w:rPr>
      <w:tab/>
      <w:t xml:space="preserve">Date of Audit: </w:t>
    </w:r>
    <w:bookmarkStart w:id="59" w:name="AuditStartDate1"/>
    <w:r>
      <w:rPr>
        <w:rFonts w:cs="Arial"/>
        <w:sz w:val="16"/>
        <w:szCs w:val="20"/>
      </w:rPr>
      <w:t>6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