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Rosewood Resthome Limited - Rosewood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Rosewood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Rosewood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July 2019</w:t>
      </w:r>
      <w:bookmarkEnd w:id="7"/>
      <w:r w:rsidRPr="009418D4">
        <w:rPr>
          <w:rFonts w:cs="Arial"/>
        </w:rPr>
        <w:tab/>
        <w:t xml:space="preserve">End date: </w:t>
      </w:r>
      <w:bookmarkStart w:id="8" w:name="AuditEndDate"/>
      <w:r w:rsidR="00A4268A">
        <w:rPr>
          <w:rFonts w:cs="Arial"/>
        </w:rPr>
        <w:t>24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Rosewood Rest Home and Hospital provides rest home dementia, psychogeriatric and hospital level care (medical and geriatric) for up to 66 residents. This privately-owned service is managed by a general manager and a facility manager with support from three clinical care coordinators. Residents were interviewed during the audit; however, the information obtained was not able to be used to contribute to the report. Family members interviewed were positive about the care and support provided in this facility.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the owner, residents, family members, managers, staff, two contracted allied health providers and a general practitioner.</w:t>
      </w:r>
    </w:p>
    <w:p w:rsidRPr="00A4268A">
      <w:pPr>
        <w:spacing w:before="240" w:line="276" w:lineRule="auto"/>
        <w:rPr>
          <w:rFonts w:eastAsia="Calibri"/>
        </w:rPr>
      </w:pPr>
      <w:r w:rsidRPr="00A4268A">
        <w:rPr>
          <w:rFonts w:eastAsia="Calibri"/>
        </w:rPr>
        <w:t>This audit has resulted in three areas identified as requiring improvement. These relate to consent and enduring power of attorney/welfare guardian documentation, residents’ records, and chemical handling and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community services and specialist health care providers to support best practice and meet resident’s needs.</w:t>
      </w:r>
    </w:p>
    <w:p w:rsidRPr="00A4268A">
      <w:pPr>
        <w:spacing w:before="240" w:line="276" w:lineRule="auto"/>
        <w:rPr>
          <w:rFonts w:eastAsia="Calibri"/>
        </w:rPr>
      </w:pPr>
      <w:r w:rsidRPr="00A4268A">
        <w:rPr>
          <w:rFonts w:eastAsia="Calibri"/>
        </w:rPr>
        <w:t>The service has a complaints policy and associated procedures which comply with Right 10 of the Code. Staff interviewed understood the complaints process including where to access complaint forms, how long the process should take and that feedback would be provided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Rosewood Rest Home and Hospital is privately owned and is managed by a facility manager with oversight from a general manager. Business and quality and risk management plans are documented and include the scope, direction, goals, values and mission statement of the organisation. Systems are in place to monitor and report on the services provided, including regular weekly written reporting to the general manager, who in turn reports to the director. An experienced and suitably qualified person manages the facility.  </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relatives.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contractual requirements and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Any prospective resident is required to have a needs assessment prior to entry. Access to the facility is appropriate and efficiently managed with relevant information provided to the prospective residents and their families.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and activity plans are individualised, based on a comprehensive range of information. Appropriate planning and interventions occur for any new problems that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in accordance with a registered food control plan.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are current building warrants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Protective equipment and clothing are available for use.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Response to call bells is monitored to ensure residents’ needs are met.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Restraint is only used as a last resort and at the time of audit no restraint or enablers were in use.  A system is in place to ensure comprehensive assessment, approval, monitoring and review occurs when restraint is used.  Use of enablers is voluntary for the safety of residents in response to individual requests. Staff demonstrated a sound knowledge and understanding of the restraint and enabler use processes and of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infection prevention and control programme, which aims to prevent and manage infections is reviewed annually. The programme is led by a new trained infection control coordinator with support from the facility manager who has experience in the field. Specialist infection prevention and control advice is able to be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procedures. Regular education on infection prevention and control is available for staff.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3"/>
        <w:gridCol w:w="1280"/>
        <w:gridCol w:w="97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Rosewood Rest Home and Hospital (referred to as Rosewood)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informed that training on the Code is included in the orientation process for all staff employed and is provided in ongoing training every year. This was verified in staff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using the organisation’s standard consent form. Medical practitioners were involved in completing and signing documents guiding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Few residents had documentation on file confirming enactment of the health and welfare enduring power of attorney, or evidence of a welfare guardian having been appointed by the court. Also, there was a lack of clarity around who was signing significant documents for whom and what authority they had to do so. These issues have been raised for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as far as this was possible for day to day care and at the very least explained what they were doing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family members and residents are given a copy of the Code, which includes information on the Advocacy Service. Posters and brochures related to the Advocacy Service were displayed and available in the facility. Family members spoken with were aware of the Advocacy Service, how to access this and their right to have support persons. The manager informed that there has not been any recent example of the involvement of Advocacy Services; however, they have used a social worker, who was a resident’s court appointed welfare guardian, to assist with addressing a family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to local cafes, shopping trips, walks and activities. The diversional therapist explained that visiting entertainers, or other community members leading activity sessions also take time to talk with residents when they visit, which was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Family members interviewed stated they felt welcome when they visited and comfortable in their dealings with staff. According to the manager and staff interviewed, family members are welcome around the clock if a resident is receiving end of life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policy and associated forms meet the requirements of Right 10 of the Code.  Information on the complaint process is provided to residents’ family members on admission and there is complaint information, copies of the Code and forms available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eleven complaints have been received over the past year and that actions taken, through to an agreed resolution, are documented and completed within the timeframes.  Action plans reviewed showed investigations and required follow up occurred, corrective actions are documented,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There have been no complaints received from external sources since the previous audit.  However, one complaint made through the Health and Disability Commission prior to that time remains open. Correct processes have been followed and a response made in the required timeframe following the results of an independent review. While awaiting the outcome the facility manager has implemented corrective actions including education and staff reminders.</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not able to express their familiarity with the Code and the Nationwide Health and Disability Advocacy Service (Advocacy Service); however, family members interviewed confirmed these had been discussed with them when their relative entered the service and that they had received information about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in both English and te reo Māori was sighted on display in two different parts of the building. Information on advocacy services, how to make a complaint and feedback forms were available in each of the nurses’ stations and in the reception area at the front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confirmed that the residents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Throughout the audit, staff were observed to maintain residents’ privacy, and where relevant to give residents choices.  A clinical care coordinator stated that caregivers are regularly reminded of the need to make sure curtains and doors are shut when doing personal cares. All residents have a private room and although there are two double rooms, both currently only have one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maintain their independence. Documentation in the care plans described each person’s level of independence according to their abilities and staff were observed assisting residents and reminding them of the next step in a process, as with hand washing, eating a meal and a person putting on their shoes.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Family members interviewed informed they had not seen any example of any type of abuse, or examples of disrespect,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Māori health plan developed with input from cultural advisers as well as an ethnicity awareness policy and procedure. The principles of the Treaty of Waitangi and the importance of whānau are incorporated into policy documentation and two staff provided explanations of how these are evident in day to day practice. Te whare tapa wha model of care had been used as part of the service delivery plan for one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the three residents in the service who identify as Māori to integrate their cultural values and beliefs at the level they are wanting, or that the family have informed they are accustomed to. Guidance on tikanga best practice is available and is supported by staff in the facility who identify as Māori. Māori cultural support is available from a cultural advisor from a nearby public hospital who visits each resident shortly after their admission, intermittently after that and as required. It was not possible to interview any Māori resident or their 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sections of the care plans and the activity plans include records about the culture, values and beliefs. Individualised responses are recorded, and applicable personal preferences and special needs are integrated into the interventions for care planning and activity plans that were reviewed. Family members verified that they were consulted on their individual culture, values and beliefs and that from what they hear and see, the staff respect these. According to the facility manager, excepting for those who identify as Māori, all other residents identify as New Zealand/European. None of the residents currently leave the facility on a regular basis specifically for cultural or spiritual reasons. An interdenominational service is held within the facility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and two visiting health professionals who were interviewed, stated that residents were free from any type of discrimination, harassment or exploitation. The induction process for staff includes education related to professional boundaries, expected behaviours and the Code of Conduct. Staff sign a Code of Conduct when they commence employment.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especially the psychogeriatrician, mental health services for older persons, and the palliative care nurses with whom there is open communication whenever needed. The general practitioner (GP) confirmed the service seeks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including conferences and workshops and there are ample opportunities for in-service education.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good communication of staff with residents, ensuring residents were happy and comfortable and providing immediate attention if there was anything they could assist with. The activity programme is diverse and involves residents at both individual and group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They also informed they are advised in a timely manner about any incidents or accidents and the outcomes of regular and any urgent medical reviews. This was supported by notes in the family communication section of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care coordinators know how to access interpreter services, although reported this has only been required once, which was for a family member of a previous resident. It was also reported that there has never been a need to use staff to assist with interpretation. Staff informed that there have been times when pen and paper has been used to assist with communication. They also informed that if a resident is progressively, or suddenly less responsive to verbal communication then a referral is made to the ear clinic.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business plan, which is reviewed annually, outlines the purpose, mission, values, scope, direction and goals of the organisation. The documents described annual and longer-term objectives and the associated operational plans. Clinical coordinators provide weekly reports to the facility manager, who in turn collates a weekly report to the general manager. The general manager is responsible for reporting to the owner/director. A sample of reports were reviewed and showed adequate information to monitor performance is being reported including overviews of health and safety, occupancy, financial performance, staffing, service delivery, adverse event reporting, emerging risks and issues, and updates on previously identified risks. Examples of associated reports were also reviewed. The owner/director and the general manager both confirmed the reports are comprehensive and provided sufficient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facility manager who is overseen by a general manager who is based in the North Island.  The facility manager, who has been in the post for four years, is a registered nurse with a current practising certificate and is suitably experienced. Responsibilities and accountabilities are defined in a job description and individual employment agreement.  The facility manager confirmed knowledge of the sector, regulatory and reporting requirements and maintains currency through attendance at conferences and aged care sector study days. She is supported by the general manager, also a registered nurse, who maintains contact at a minimum of weekly and visits the facility two weekly. The owner/director also takes an active interest. The facility manager is further supported by three clinical coordinators who work in each of the specialty areas of the facility, rest home (dementia), hospital and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for 26 rest home (dementia) beds, 20 beds in the psychogeriatric unit and 20 aged care hospital level beds including a support care contract to provide end of life care. At the time of audit, 24 residents were receiving services under the rest home (dementia) contract, 19 under the psychogeriatric contract and 18 under the aged care hospital level contract. No residents were receiving end of life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an identified clinical coordinator carries out all the required duties under delegated authority. During absences of key clinical staff, the clinical management is overseen by clinical coordinator who is experienced in the sector and able to take responsibility for any clinical issues that may arise. Staff reported the current arrangements work well and responsibilities are understood.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a regular resident satisfaction survey, monitoring of outcomes, clinical incidents including infections, falls, pressure injuries, skin tears and unexplained bruising.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These are provided by an external quality consultant who as part of the contract is responsible for ensuring documentation is current, regularly reviewed and meets the requirements of the document control policy.  The document control system ensures a systematic and regular review process, referencing of relevant sources, approval, distribution and removal of obsolete documents. Staff are required to sign to acknowledge they have read any new or updated policy document.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monthly management meeting, registered nurse meetings, monthly quality meetings and staff meetings. Staff reported their involvement in quality and risk management activities through the reporting and investigation of incidents together with internal audit activity. The quality consultant provides access to an electronic recording and analysis system for the management of quality and risk issues. Related data is being entered, analysed and tracked.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next of kin satisfaction surveys are completed annually. The most recent survey showed overall high satisfaction with corrective actions plans developed for any item where satisfaction was below 85%. A review of quality improvement plans confirmed concerns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A hazard and risk register confirmed appropriate identification of risks and the implementation of mitigation strategies. Staff interviewed described their involvement in health and safety activity.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electronic system. A sample of incident records reviewed showed these were fully completed, incidents were investigated, action plans developed and actions followed-up in a timely manner.  Adverse event data is collated, analysed and reported weekly in the management reports and monthly to the quality improvement meetings. Meeting minutes reviewed confirmed reporting and discussion of incident causes, trends, the development of action plans and follow up on improvements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There have been three notifiable incidents since the last audit; a power outage, a pressure injury and an unexpected death.  The facility manager described the process followed and documentation related to each incident was sighted to confirm essential notification reporting requirements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interview, referee checks, police vetting and validation of qualifications and practising certificates (APCs), where required.   Position descriptions reviewed were current and defined the responsibilities of the various roles.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includes support from a ‘buddy’ through their orientation period. Staff records reviewed showed documentation of completed orientation and a performance review after a three-month period for recently employed staff.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includes education identified as required from incident analysis. Mandatory training requirements are clearly identified. Care staff records reviewed confirmed staff have completed a New Zealand Qualification Authority education programme to meet the requirements of the provider’s agreement with the DHB. The facility manager is the internal assessor for the programme.  Thirty-three staff working in the dementia care area have completed the education required by the contract, eight staff are enrolled and have commenced education, and a further five staff employed since April 2019 have yet to be enrolled. Palliative care education to meet the requirements of the support care contract is underway. Regular in-service education supplements and reinforces the external education provided. There are sufficient trained and competent registered nurses who are maintaining their annual competency requirements to undertake interRAI assessments. There is a systematic process in place to ensure mandatory training requirements are completed in a timely manner and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Two registered nurses are on duty at all times one in each of the hospital and the psychogeriatric units. In addition, a registered nurse is works 32 hours per week in the rest home. The registered nurses are supported by three caregivers in each area during the day and one in each area at night. At least one staff member on duty has a current first aid certificate and this person is identifiable as noted on the roster.</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   Care staff reported there were adequate staff available to complete the work allocated to them.  Family members interviewed supported this. Observations and review of a six-week roster confirmed adequate staff cover has been provided, with staff replaced in any unplanned absence.  Short notice gaps are covered by other staff familiar to the residents, who are not rostered for that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This included interRAI assessment information entered into the Momentum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Records were legible; however, the name and designation of the person making the entry was not always identifiable. Due to the frequency of the occurrence a corrective action has been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on-site upstairs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retained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and by specialist referral from specialist mental health services/older persons’ mental health services for those going into rest home (dementia) and specialist hospital (psychogeriatric) services. Prospective residents and/or their families are encouraged to visit the facility prior to admission and are provided with written information about the service and the admission process.  The organisation seeks updated information from the NASC, the person’s GP, social worker, older persons’ mental health and/or the hospital as applicable,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service agreements were on file for most, but not all, residents. Refer corrective action in 1.1.10.2 as the signing processes for these agreements varied with some initialled on each page and some only signed at the end of the document. The person signing the document, their relationship, or whether they had EPOA status or welfare guardianship for the resident, was not always clear.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charges comply with the varied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transfers may occur between dementia rest home and the hospital or the specialist dementia hospital services at Rosewood. Such transfers may occur in the event a resident’s overall health or behaviours change or deteriorate. This involves updating the interRAI and requesting a formal needs reassessment to be undertaken prior to the person transferring between services. A stay in an acute ward or in an aged care assessment and treatment unit may be required between such a transfer.</w:t>
            </w:r>
          </w:p>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All referrals are documented in the progress notes. An example reviewed of a patient recently transferred to the local acute care facility showed the staff at Rosewood had remained in constant contact with the acute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registered nurse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registered nurses for accuracy when administering. The controlled drug register provided evidence of weekly and six-monthly stock checks and entries were accurate.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a record of the date on the commencement and discontinuation of medicines and all requirements for pro re nata (PRN) medicines. Short term medicines were time-framed, and the person’s allergy status noted. All GP reviews of residents’ medicines were within three months, as required. There were no residents self-administering medications at the time of audit and the registered nurses stated that it would be inappropriate within this setting.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set of documents sit within a food services manual that was last updated April 2019. Food services are provided on site by a qualified cook and kitchen team and were in line with recognised nutritional guidelines for older people.  The menu follows summer and winter patterns and has been reviewed by a qualified dietitian within the last two years (26 March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Christchurch City Council on 31 January 2019. Food temperatures, including for high risk items, are monitored appropriately and recorded as part of the plan. A quality improvement plan is in place to ensure food in the hospital area is kept warm, especially as some residents need to wait to receive assistance.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family interviews and in a satisfaction survey (January 2019).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health status and clinical risk assessment, dietary profile and nutritional assessment, falls risk, continence and pressure injury risk, as a means to identify any deficits and to inform care planning. Information from GPs and family members is also used for assessment purposes.</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resident-related information.  All residents had current interRAI assessments completed by one of the trained interRAI assessors on site. Family members interviewed confirmed their involvement in the assessment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Separate behavioural management plans that reflect triggers and describe relevant interventions are available and being reviewed as applicable. Any change in care required is documented and verbally passed on to relevant staff. Families reported participation in the development and ongoing evaluation of care plans but also stated that staff regularly provide updates when they call into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that a high level of care is provided, especially when some of the residents present with behaviours that challenge. Healthcare assistants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and two activities coordinators. Caregivers assist the activities team by ensuring residents are ready for specific activities on time.</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From this individualised activity plans are developed and implemented. All residents in the dementia rest home and the specialist hospital services have a 24-hour activity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activities schedule is developed for the entire facility. Planned activities reflect residents’ goals, ordinary patterns of life and include normal community activities. Individual, group activities and regular events are offered. Residents and families/whānau are involved in evaluating and improving the programme through ongoing discussions with the activities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specialised hospital services unit are specific to the needs and abilities of the people living there. Activities are offered at times when residents are most physically active and/or restless.  This includes spending time one-on-one, playing games and normal daily activities such as afternoon tea.  Outings are arranged to join with a men’s group to provide appropriate social interactions for the men.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registered nurse/clinical care coordinator.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and as residents’ needs change.  Where progress is different from expected, the service responds by initiating changes to the long-term plan of care. Examples of electronically recorded short-term care plans being consistently reviewed were viewed for infections, changes in behaviours and skin tears. Unresolved short-term problems are added to long-term care plans as necessary. Families/whānau interviewed provided examples of involvement in evaluation of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activity needs are evaluated twice each month as recorded in the activities progress notes and as part of the formal six-monthly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for semi-urgent surgery, social work and occupational therapy input. The resident (regardless of their level of understanding or ability to recall)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acute/urgent referrals following a change in a resident’s health status are attended to immediately, such as sending the resident to accident and emergency in an ambulance if the circumstances dictate. This may involve a public hospital reassessment of the resident’s medication and examples of this having occurred were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for the management of waste and infectious and hazardous substances are documented and described the requirements of staff. The policy includes rubbish handling, kerbside recycling, kitchen waste and medical waste. A contracted provider collects on site waste.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they also provide relevant training for staff.  Chemicals were stored securely, appropriate signage was displayed where necessary, and material data sheets were available and accessible to staff. Personal protective clothing appropriate to the risks associated with the handling of chemicals was available however, housekeeping staff were able to describe the correct personal protective equipment to wear when handling individual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April 2020 is publicly displayed in each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that any requests are appropriately actioned. Family members interviewed reported they were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Resident rooms were personalised and provide adequate space for residents who use mobility devices. Rooms look out over the courtyard or gardens and residents were able to access secure outside spaces easily as well as being able to mobilise freely within each unit. The facility layout allowed for safe purposeful walking including easy access to safe and secure outdoor areas. External areas are well maintained with shrubs and gardens for residents and families to enjoy; they are appropriate to the resident groups and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There is a mix of ensuites with toilets and showers and bathrooms shared between two rooms. In the rest home area, the six rooms without an ensuite are serviced by two bathrooms and an additional toilet. All facilities afford privacy for residents when being assisted with their personal hygiene and facilities are easily identified. Appropriately secured and approved handrails are provided in the toilet/shower areas, and other equipment/accessories are available to promote residents’ independence. Hot water at the tap is maintained at safe levels and monitored monthly, this was verified by a review of internal monitoring reports for all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occupation with the two rooms in the rest home designated as doubles being used for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family members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two dedicated laundry areas by dedicated laundry staff who demonstrated a sound knowledge of the laundry processes, dirty/clean flow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housekeeping team responsible for cleaning who have received appropriate orientation.  Cleaning trolleys are not left unattended when in use. Bulk chemicals are stored securely in a lockable cupboard and were seen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examples of completed audits were seen.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7 November 2006.  A trial evacuation takes place six-monthly with a copy sent to the New Zealand Fire Service, the most recent being on 28 June 2019. The orientation programme includes fire and security training which is repeated annually.  Staff confirmed their awareness of the emergency procedures and have undertaken training in the Coordinated Incident management Systems (CIMS).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These meet the regional Ministry of Civil Defence and Emergency Management recommendations for the number of residents and staff. A generator is available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are locked as part of the security in the rest home (dementia) and psychogeriatric units and windows locked by staff at a predetermined time. In the general hospital doors are locked each evening at an agreed time. Visitors can access the facility via a doorbell. Camera surveillance of hallways, communal areas and the entry is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Access to the secure external garden and courtyards is via the lounge areas. Shade is available.  Heating is provided by underfloor heating in residents’ rooms in the communal areas in the hospital and individual heat pumps in the rest home. Areas were warm and well ventilated throughout the audit and staff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documentation includes a comprehensive set of infection prevention and control (IPC) policies and procedures, which underpin the service provider’s infection prevention and control programme.  The infection prevention and control programme is reviewed annually and the latest report covers an overview of the infection surveillance results, a review of hand hygiene and use of personal protective equipment, a review of household and laundry and a review of infection related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a job description. This person accepted the role approximately a week prior to the audit and is being supported by the facility manager, who has previously been an infection control coordinator. Infection control matters, including infection surveillance results, are reported to the quality and risk committee meetings and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are offered the flu vaccination each year. 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described their use of personal protective equipment to help prevent the spread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has just been appointed to take on the role of infection control coordinator. Additional education to upskill the registered nurse has been organised. Meantime, the facility manager who has appropriate skills, knowledge, qualifications and experience for such a role is supporting the new appointee. The infection prevention and control team includes management and clinical nurse coordinators from each key area.</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can be accessed from the infection control team at the DHB, the community laboratory, the GP and the local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and the facility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just before the audit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has been provided by suitably qualified registered nurses, the facility manager and the previous IPC coordinator.  Content of the training is documented and evaluated to ensure it is relevant, current and understood.  The most recent infection prevention and control in-service education was in May 2019 and as per usual practice a record of attendance was recorded. Two qualified registered nurses undertaken annual infection control competencies with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opportunities with the residents in this service are limited; therefore, staff are taking on the responsibility for ensuring residents maintain good practice in relation to infection prevention and control by assisting them with handwashing and ensuring they have enough to drink, for example.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Records showed the IPC coordinator at the time has reviewed all reported infections.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nurse coordinators, the infection control team and the quality committee.  Data is benchmarked externally with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process has alerted the service provider of the higher than expected levels of urinary tract infections in one particular hospital area and high numbers of recent upper respiratory tract infections. Quality improvement plans have been developed and are ready for implementation.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differences between a restraint and an enabler and note that enabler use is voluntary. The use of restraint is actively minimised. A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restraint register is maintained and was sighted. On the day of audit, no residents were using restraints and no residents were using enablers. Review of the restraint register and monthly reporting confirmed the last resident was removed from the register six weeks prior to the audit following a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A restraint approval committee monitors restraint use and reports to the quality improvement and management meetings. Internal audits are conducted six-monthly to confirm the required documentation has been completed and that ongoing monitoring is occurring. Approved restraints are bed sides (as a restraint), waist belts around the resident and chair, which is intended for use where a resident may attempt to move from a chair without assistance of staff or mobility aids, and the risk of injury is high, and lazy boy, fall/out chair. Environmental restraint as it relates to dementia care residential facilities to ensure a secure environment is defined within the restraint policy and has been signed off by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had a good understanding of the different types of restraint and their associated risks. Staff were able to describe the processes followed for restraint use including assessment, approval, consent, care planning of alternative strategies, monitoring, risks, documentation and review.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83"/>
        <w:gridCol w:w="1280"/>
        <w:gridCol w:w="6770"/>
        <w:gridCol w:w="1873"/>
        <w:gridCol w:w="20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 forms were in residents’ files; however, the identity of the person signing them was not always evident. </w:t>
            </w:r>
          </w:p>
          <w:p w:rsidR="00EB7645" w:rsidRPr="00BE00C7" w:rsidP="00BE00C7">
            <w:pPr>
              <w:pStyle w:val="OutcomeDescription"/>
              <w:spacing w:before="120" w:after="120"/>
              <w:rPr>
                <w:rFonts w:cs="Arial"/>
                <w:b w:val="0"/>
                <w:lang w:eastAsia="en-NZ"/>
              </w:rPr>
            </w:pPr>
            <w:r w:rsidRPr="00BE00C7">
              <w:rPr>
                <w:rFonts w:cs="Arial"/>
                <w:b w:val="0"/>
                <w:lang w:eastAsia="en-NZ"/>
              </w:rPr>
              <w:t>Two residents had documentation demonstrating a court appointed welfare guardian was involved and two copies of enduring power of attorney documentation had letters confirming they had been enacted. Two copies of personal and property enduring power of attorney documentation were dated after the resident had been admitted to the dementia service. Four other residents’ files had neither enduring power of attorney, nor welfare guardianship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service agreements were on file for most but not all residents. The signing processes for these varied with some initialled on each page and some only signed at the end of the document. The person signing the document, or their relationship to the resident, was not always clear.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inconsistency in ensuring the legal requirements are met in relation to obtaining consent, Enduring Power of Attorney/Welfare Guardianship documentation and signing of service agreements.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Attorney/Welfare Guardianship documentation meets legal requirements and where applicable, enduring power of attorney documentation requires evidence in the resident’s record that it has been enacted.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date and the signature of the author of entries into progress notes were evident for all entries in the health records. However, the signatures were not legible, and the name of the assignee was not consistently written alongside the signatures. Likewise, only a small number of designations of the author were noted and of these a number were unable to be easily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signed progress notes do not always have a legible name and/or designation alongside the entries.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author of entries into progress notes is identifiable with a legible name and designation alongside each entry.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1.4.1.6</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and clothing appropriate to the risks involved when handling waste or hazardous substances is provided and used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staff are the designated chemical handlers. Three housekeeping staff interviewed correctly identified how to isolate and manage a chemical spill. There is provision and availability of protective clothing and equipment which is appropriate to the risks. However, housekeeping staff were unable to describe the correct personal protective equipment to wear when handling individual chemicals. One staff member has completed the required Chemical Handling Approved Handler Training (HSNO), however a further two employed since 2018 have not and as a result are unsure of the risks and cannot demonstrate the appropriate protective equipment and clothing to use. This was confirmed by observation, interview and a review of staff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housekeeping staff, have completed chemical handling training and as a result are not aware of the risks of handling chemicals and cannot demonstrate the correct personal protective clothing to wear.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involved in the handling of chemicals have received training, are aware of the risks associated with the use of chemicals and can demonstrate the correct use of personal protective clothing.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Rosewood Resthome Limited - Rosewood Resthome and Hospital</w:t>
    </w:r>
    <w:bookmarkEnd w:id="58"/>
    <w:r>
      <w:rPr>
        <w:rFonts w:cs="Arial"/>
        <w:sz w:val="16"/>
        <w:szCs w:val="20"/>
      </w:rPr>
      <w:tab/>
      <w:t xml:space="preserve">Date of Audit: </w:t>
    </w:r>
    <w:bookmarkStart w:id="59" w:name="AuditStartDate1"/>
    <w:r>
      <w:rPr>
        <w:rFonts w:cs="Arial"/>
        <w:sz w:val="16"/>
        <w:szCs w:val="20"/>
      </w:rPr>
      <w:t>23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