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Willard Elderly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Willard Elderly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July 2019</w:t>
      </w:r>
      <w:bookmarkEnd w:id="7"/>
      <w:r w:rsidRPr="009418D4">
        <w:rPr>
          <w:rFonts w:cs="Arial"/>
        </w:rPr>
        <w:tab/>
        <w:t xml:space="preserve">End date: </w:t>
      </w:r>
      <w:bookmarkStart w:id="8" w:name="AuditEndDate"/>
      <w:r w:rsidR="00A4268A">
        <w:rPr>
          <w:rFonts w:cs="Arial"/>
        </w:rPr>
        <w:t>12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PSC Willard is owned by Presbyterian Support Central and provides care for up to 44 residents at rest home level care.  Occupancy on the day of the audit was 37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the general practitioner. </w:t>
      </w:r>
    </w:p>
    <w:p w:rsidRPr="00A4268A">
      <w:pPr>
        <w:spacing w:before="240" w:line="276" w:lineRule="auto"/>
        <w:rPr>
          <w:rFonts w:eastAsia="Calibri"/>
        </w:rPr>
      </w:pPr>
      <w:r w:rsidRPr="00A4268A">
        <w:rPr>
          <w:rFonts w:eastAsia="Calibri"/>
        </w:rPr>
        <w:t>The service is overseen by a facility manager who is a registered nurse and well qualified and experienced for the role.  The facility manager is supported by a clinical nurse manager, registered nurses and long-serving staff.  Residents, family and the general practitioner interviewed spoke positively about the service provided.</w:t>
      </w:r>
    </w:p>
    <w:p w:rsidRPr="00A4268A">
      <w:pPr>
        <w:spacing w:before="240" w:line="276" w:lineRule="auto"/>
        <w:rPr>
          <w:rFonts w:eastAsia="Calibri"/>
        </w:rPr>
      </w:pPr>
      <w:r w:rsidRPr="00A4268A">
        <w:rPr>
          <w:rFonts w:eastAsia="Calibri"/>
        </w:rPr>
        <w:t>This audit has identified areas requiring improvement around meetings and survey outcomes, interventions and aspects of medicine   management.</w:t>
      </w:r>
    </w:p>
    <w:p w:rsidRPr="00A4268A">
      <w:pPr>
        <w:spacing w:before="240" w:line="276" w:lineRule="auto"/>
        <w:rPr>
          <w:rFonts w:eastAsia="Calibri"/>
        </w:rPr>
      </w:pPr>
      <w:r w:rsidRPr="00A4268A">
        <w:rPr>
          <w:rFonts w:eastAsia="Calibri"/>
        </w:rPr>
        <w:t xml:space="preserve">The service was awarded a continuous improvement rating around community.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service complies with the Code of Health and Disability Consumers’ Rights.  Staff ensure that care is provided in a way that focuses on the individual, values residents' autonomy and maintains their privacy and choice.  Residents receive services in a manner that considers their dignity, privacy and independence.  Policies are implemented to support residents’ rights, communication and complaints management.  The service promotes and encourages good practice.  Care plans accommodate the choices of residents and/or their family/whānau.  Complaints processes are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There is a documented quality and risk system in place.  Key components of the quality management system link to monthly senior team meetings.  An annual resident and relative satisfaction survey are completed and there are regular resident and relative meetings.  There are human resources policies including recruitment, selection, orientation, staff training and development.  The service has an induction programme that provides new staff with relevant information for safe work practice.  There is an organisational training programme in place.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by the facility manager and clinical nurse manager.  A welcome pack includes service information.  Registered nurses are responsible for each stage of service provision including assessments, care plans and evaluations.  Residents and relatives interviewed confirmed they were involved in the care planning and review process.  </w:t>
      </w:r>
    </w:p>
    <w:p w:rsidRPr="00A4268A" w:rsidP="00621629">
      <w:pPr>
        <w:spacing w:before="240" w:line="276" w:lineRule="auto"/>
        <w:rPr>
          <w:rFonts w:eastAsia="Calibri"/>
        </w:rPr>
      </w:pPr>
      <w:r w:rsidRPr="00A4268A">
        <w:rPr>
          <w:rFonts w:eastAsia="Calibri"/>
        </w:rPr>
        <w:t>The recreation officer develops individual and group activities in consultation with residents.  The group programme is varied and interesting and supported by volunteers.  There are outings, entertainment and community involvement.</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Medication competent staff complete annual competencies.  General practitioners review the medication charts at least three monthly.  </w:t>
      </w:r>
    </w:p>
    <w:p w:rsidRPr="00A4268A" w:rsidP="00621629">
      <w:pPr>
        <w:spacing w:before="240" w:line="276" w:lineRule="auto"/>
        <w:rPr>
          <w:rFonts w:eastAsia="Calibri"/>
        </w:rPr>
      </w:pPr>
      <w:r w:rsidRPr="00A4268A">
        <w:rPr>
          <w:rFonts w:eastAsia="Calibri"/>
        </w:rPr>
        <w:t xml:space="preserve">Meals are prepared on site under the direction of the senior cook.  A dietitian has reviewed the menu.  The menu is varied and appropriate.  Individual dietary needs/dislikes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All rooms are single, personalised and have a hand basin.  Shower/toilet facilities are closely located to resident and communal areas.  The environment is warm and comfortable.  There is adequate room for residents to move freely about the home using mobility aids.  Communal areas are spacious and well utilised for group and individual activity.  Other outdoor areas with seating and shade are safe and accessible for the rest home residents.  There is adequate equipment for the safe delivery of care.  All equipment is well maintained and on a planned schedule.  All chemicals are stored safely.  The laundry is well equipped.  The cleaning service maintains a tidy, clean environment.  There is a current emergency evacuation plan.  There is a first aider on duty at all times.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The clinical nurse manager is the restraint and enabler coordinator.  On the day of audit there were no residents with restraints or enablers.  Restraint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is responsible for coordinating education and training for staff.  The infection control nurse attends PSC peer support meetings for infection control nurses.  There is a suite of infection control policies and guidelines to support practice.  The infection control nurse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96"/>
        <w:gridCol w:w="1280"/>
        <w:gridCol w:w="93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Interviews with five care staff, including: one registered nurse (RN), three HCAs and one activities staff member reflected their understanding of the key principles of the Code.  Staff receive training about the Code in the mandatory in-service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are provided with all relevant information on admission.  Policies and procedures for informed consent policies/procedures and resuscitation are in place.  General consents and specific consents where applicable were obtained on admission and updated as required.  These were sighted in the six long-term resident files reviewed.  Resuscitation plans were appropriately signed.  Copies of enduring power of attorney (EPOA) for care and welfare were in resident files and activated where required.  The service has been actively introducing the advance care plan document on admission and initiating discussions to ensure the residents needs and wishes for end of life are known and shared with other members of the medical team including hospice, DHB and GPs.  All RNs have attended level one of advance care planning.  Currently just over 50% of competent residents have completed advance care planning documents.</w:t>
            </w:r>
          </w:p>
          <w:p w:rsidR="00EB7645" w:rsidRPr="00BE00C7" w:rsidP="00BE00C7">
            <w:pPr>
              <w:pStyle w:val="OutcomeDescription"/>
              <w:spacing w:before="120" w:after="120"/>
              <w:rPr>
                <w:rFonts w:cs="Arial"/>
                <w:b w:val="0"/>
                <w:lang w:eastAsia="en-NZ"/>
              </w:rPr>
            </w:pPr>
            <w:r w:rsidRPr="00BE00C7">
              <w:rPr>
                <w:rFonts w:cs="Arial"/>
                <w:b w:val="0"/>
                <w:lang w:eastAsia="en-NZ"/>
              </w:rPr>
              <w:t>A signed admission agreement was in place for the long-term files reviewed.  Discussions with family/whānau confirmed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Information about accessing advocacy services information is available in the main entrance.  The information pack provided to residents at the time of entry to the service also provides residents and family/whānau with advocacy information.  Interviews with healthcare assistants, residents and relatives informed they were aware of advocacy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confirmed relatives and friends can visit at any time and are encouraged to be involved with the service and care.  Maintaining links with the community is encouraged.  Discussion with staff, relatives and residents confirmed residents are supported and encouraged to remain involved in the community and external groups.  There are a number of volunteers actively involved in assisting/supporting residents in activities.  </w:t>
            </w:r>
          </w:p>
          <w:p w:rsidR="00EB7645" w:rsidRPr="00BE00C7" w:rsidP="00BE00C7">
            <w:pPr>
              <w:pStyle w:val="OutcomeDescription"/>
              <w:spacing w:before="120" w:after="120"/>
              <w:rPr>
                <w:rFonts w:cs="Arial"/>
                <w:b w:val="0"/>
                <w:lang w:eastAsia="en-NZ"/>
              </w:rPr>
            </w:pPr>
            <w:r w:rsidRPr="00BE00C7">
              <w:rPr>
                <w:rFonts w:cs="Arial"/>
                <w:b w:val="0"/>
                <w:lang w:eastAsia="en-NZ"/>
              </w:rPr>
              <w:t>Willard Home has worked to improve community links and provide a welcoming space for residents and the community to share.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and this is communicated to residents and family members.  The facility manager leads the investigation and management of complaints (verbal and written) in consultation with the clinical manager for clinical concerns/complaints.  Enliven concern/complaint forms are visible at the main entrance. There have been no complaints for 2018 and no complaints to date for 2019.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residents and relatives confirmed they were aware of how to make a complaint.  A copy of the complaint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information was available in the front entrance of the facility and posters were on the walls in the hallways.  Client right to access advocacy services is identified for residents and advocacy service leaflets were available at the front entrance.  Information is also included in the welcome pack which is given to the resident/relative prior to or on entry to the service.  Interviews with six residents and three family members confirmed that the service functions in a way that complies with the Code of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A tour of the facility confirmed personal privacy is provided and respected for residents.  Staff were observed to be respectful of residents’ personal privacy by knocking on doors prior to entering resident rooms during the audit.  Residents and families interviewed confirmed that staff were respectful and caring, and maintain their dignity, independence and privacy at all times.  A review of documentation, interviews with residents, relatives and staff highlighted how they demonstrate their commitment to maximising resident independence and make service improvements that reflect the wishes of residents.  Abuse and neglect training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the provision of culturally safe care for residents identifying as Māori, including a Māori health plan.  The service's philosophy results in each person's cultural needs being considered individually.  On the day of the audit, there was one resident who identified as Māori within the service.  The resident file reviewed included a PSC Māori health plan that incorporates the resident’s culture and the principles of Eden philosophy.  PSC has a cultural advisory group comprising of PSC employees and iwi representatives.  A Māori health plan incorporating principles of Eden philosophy has been developed in partnership with kaumātua, whānau, residents and staff and being implemented.  Māori consultation is available through the local iwi marae and community.  All care staff interviewed were aware of the importance of whānau in the delivery of care for Māori residents.  The resident who identified as Māori was observed singing and joining in cultural songs as part of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clinical nurse manager or registered nurse (RN), along with the resident and family/whānau complete the cultural and spiritual documentation.  Residents and family interviewed confirmed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Willard Home employs a chaplain who provides support to residents, families and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Discrimination, coercion, exploitation and harassment policies and procedures are in place.  Code of conduct and position descriptions outline staff responsibilities in terms of providing a discrimination free environment.  The Code of Rights is included in orientation and mandatory in-service training.  Interviews with staff confirmed their understanding of discrimination and exploitation and could describe how professional boundaries are maintained.  The code of conduct and confidential clause and information technology policy is signed on employment.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Staffing policies include pre-employment and the requirement to attend orientation and ongoing mandatory in-service training.  Presbyterian Support Central provide a variety of supportive forums that also assist to drive improvements across the organisations.  These include; a quarterly quality advisory group, a business advisory group, cultural advisory group, training advisory group, Eden advisory group and restraint and infection control group.  The PSC nurse consultants and are readily available by phone.  Peer support days are provided annually for all levels of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had a sound understanding of principles of aged care.  Staff stated that they feel supported by the management team.  The service demonstrates they are continually striving to provide quality care and have initiated several quality improvements for the service including an electronic resident management system, supporting staff to achieve level three and level four Careerforce.  The service has a self-contained apartment for families to stay when they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Residents and relatives interviewed stated they were welcomed on entry and were given time and explanation about the services, and charges not included in the admission agreement.  Ten incident forms reviewed from May 2019 on the Leecare system identified the relatives had been informed of an accident/incident.  Interviews with RNs confirmed that family are kept informed.  Relatives interviewed confirmed they were notified of any changes in their family member’s health status.  There are regular resident meetings and Eden meetings.  Family meetings occur every six months.  Enliven-wide and Willard Home newsletters are produced on a regular basis and displayed.  Interpreter services are provided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Willard Home is owned and operated by Presbyterian Support Central organisation.  The service provides rest home level care for up to 44 residents.  On the day of the audit there was a total of 37 residents including one respite care resident.  All other residents were funded under the DHB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(PSC) has an overall business/strategic plan, philosophy of care and mission statement.  Willard home has a facility specific business plan and a quality plan which links to the organisation’s strategic plan and is reviewed at quarterly meetings in consultation with the clinical director and general manager.  Goals for 2019 include; continuing to implement the Māori health plan, buffet lunches for residents, the community garden, improving team culture and environmental sustainability.   Staff are involved in goal setting and these are discussed at management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(registered nurse with current practicing certificate) has been in the role as manager for Willard home and another PSC facility since 1 April 2019.  She has been the clinical manager at Willard Home for many years prior to accepting the manager role across two sites.  She has extensive experience in elderly care and is studying for level six management through Careerforce.  The facility manager reports to the clinical director and general manager at head office and attends the quarterly regional managers’ meetings.  The facility manager is supported by experienced clinical nurse managers at each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more than eight hours of professional development relating to the management of an aged care service in the past twelve months, including attending the PSC manager peer support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who is employed full time, covers the facility manager’s absence with support from the clinical director/general manager and administrator.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and risk management system in place.  PSC has an overall Quality Monitoring Programme (QMP) that is part of the quality programme.  Interviews with the facility manager and clinical nurse manager reflected their understanding of the quality and risk management systems that have been put into place.  The senior team meeting acts as the quality committee and monitors progress with the quality programme/goals through one to two monthly senior team meetings.  The agenda covers quality data relating to accidents/incidents, infections, wounds, internal audits, human resource/staff issues, corrective action plan updates, health and safety, Eden activity and resident/relative issues, clinical/business risk, complaints, policies, education/training and business plan goals are discussed.  Information is fed back to the monthly clinical focused meetings and general staff meetings; however, minutes of the clinical meeting and staff meeting do not always evidence that all quality information is discussed or reported back.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(including Lippincott NZ) used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Policies and procedures are reviewed by relevant personnel at head office and relevant advisory group in consultation with managers and clinical managers.  Staff have access to A-Z policies on the PSC intranet.  Staff are required to read policy changes/reviews which are also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includes an annual survey, internal audit programme, data collection, analysis and review of adverse events including accidents, incidents, infections, wounds and pressure injuries.  The overall survey result for 2017 and 2018 was a score of 4.47 (out of 5) with the PSC average of 4.34.   Results have not been documented as reported to staff, residents and family members.  Incidents/accidents and infection control events are entered into the electronic system and a monthly report is generated.  Quality data that is collected is entered on the PSC database and benchmarked against other facilities in the group.  Action plans are developed for any clinical data above the benchmark for key performance indicators.  Internal audits have been completed as scheduled.  Audit outcomes are discussed, and corrective actions put in place including re-audits for results less than expected.  All corrective action plans reviewed were comprehensive and documented in-depth follow-up.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which includes a health and safety committee.  Committee meetings are held six monthly.  Staff are informed of upcoming health and safety meetings and have the opportunity to raise any concerns with representatives.  Committee meeting minutes are posted on the noticeboard in the staff room.  There is a current hazard register for the site covering all areas of service.  Staff receive health and safety induction on employment and ongoing training as part of the education programme.  Contractors and volunteers receive a health and safety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the analysis of falls and the identification of falls prevention strategies including resident checks, sensor mats, post falls reviews and individual resident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The data is generated on the Leecare system and links to the organisational benchmarking programme and this is able to be used for comparative purposes with other similar services.  Trends and analysis information and graphs are posted in the staff room (link 1.2.3.6).  Ten incident forms across the three services for May 2019 were reviewed.  All incident forms (skin tears, falls, bruises and behaviours) had been fully completed and residents reviewed by a RN.  Progress notes detailed RN follow-up, corrective actions and relative notification.  Neurological observation forms were documented and completed for unwitnessed falls with potential head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and clinical nurse manager confirmed that there is an awareness of the requirement to notify relevant authorities in relation to essential notifications.  There have been three section 31 notifications since the last audit.  One for an unstageable facility acquired pressure injury, one incident involving police assistance for an unruly family and one for an emergency response by the service following a burst water pipe.  There was an outbreak May 2019; public health and the DHB were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are in place, which includes the recruitment and staff selection process.  Relevant checks are completed to validate the individual’s qualifications and experience as evidenced in the seven staff files selected for review (two RNs, three healthcare assistants, one activities person and one cook).  All files contained a job description, completed orientation and current performance appraisal.  Care staff interviewed stated that they believed new staff were adequately orientated to the service.  New staff attend a one-day orientation to the service before working alongside an observer (senior HCA).  Copies of practising certificates for RNs and allied health professionals were sighted.  The service has 20 volunteers currently involved in the service.  Five volunteer files reviewed evidenced volunteers had completed induction, had signed volunteer agreements and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An in-service education programme is being implemented that includes annual mandatory training days for RNs (professional and core clinical days) and HCAs and other support staff.  Staff are required to attend the mandatory training days, which includes speakers, including the facility manager and clinical manager.  Records of attendance at the training days demonstrates that staff attend as required.  Individual record of training attendance is maintained.  The service provides a two-yearly cycle of training for all staff.  There is specific and separate training for registered nurses and HCA provided through paid training days.  Seven staff files all documented that all staff had attended at least eight hours training a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additional education offered though the DHB and hospice.  Enliven has a professional development recognition programme for RNs and enrolled nurses that has been approved by nursing council.  The RN and clinical nurse manager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The facility manager divides her time equally between two homes.  The clinical nurse manager works full-time at Willard Home.  The clinical nurse manager and RN provide an RN on duty across seven days a week.  The clinical nurse manager and RN provide clinical on call cover.   </w:t>
            </w:r>
          </w:p>
          <w:p w:rsidR="00EB7645" w:rsidRPr="00BE00C7" w:rsidP="00BE00C7">
            <w:pPr>
              <w:pStyle w:val="OutcomeDescription"/>
              <w:spacing w:before="120" w:after="120"/>
              <w:rPr>
                <w:rFonts w:cs="Arial"/>
                <w:b w:val="0"/>
                <w:lang w:eastAsia="en-NZ"/>
              </w:rPr>
            </w:pPr>
            <w:r w:rsidRPr="00BE00C7">
              <w:rPr>
                <w:rFonts w:cs="Arial"/>
                <w:b w:val="0"/>
                <w:lang w:eastAsia="en-NZ"/>
              </w:rPr>
              <w:t>Willard Home currently has 37 residents including one respite care.  HCA staffing is as follows;</w:t>
            </w:r>
          </w:p>
          <w:p w:rsidR="00EB7645" w:rsidRPr="00BE00C7" w:rsidP="00BE00C7">
            <w:pPr>
              <w:pStyle w:val="OutcomeDescription"/>
              <w:spacing w:before="120" w:after="120"/>
              <w:rPr>
                <w:rFonts w:cs="Arial"/>
                <w:b w:val="0"/>
                <w:lang w:eastAsia="en-NZ"/>
              </w:rPr>
            </w:pPr>
            <w:r w:rsidRPr="00BE00C7">
              <w:rPr>
                <w:rFonts w:cs="Arial"/>
                <w:b w:val="0"/>
                <w:lang w:eastAsia="en-NZ"/>
              </w:rPr>
              <w:t>AM: two long shifts and two short shifts, PM:  two long shifts and one short shift and two staff members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staff for activities, cleaning and laundry services and food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files are protected from unauthorised access by being locked away in the nurses’ stations.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Sensitive resident information is not displayed in a way that can be viewed by other residents or members of the public.  A document destruction bin is used for confidential documents.  All electronic resident files are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Residents and relatives interviewed confirmed they received information prior to admission and had the opportunity to discuss the admission agreement with the facility manager and/or clinical nurse manager.  The admission agreement form in use aligns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electronic medication system.  The medication management policies comply with medication legislation and guidelines.  Medicines are stored safely.  There is no stock held and all medications are prescribed for the residents.  Registered nurses and senior HCAs complete annual competencies and education through learning packs.  The service uses a blister pack medication management system and all medications are checked on delivery against the medication chart and signed in on the electronic medication system.  ‘As required’ medications are regularly checked for expiry dates.  The medication fridge temperature is checked and recorded daily.  There was one resident self-medicating who had an initial assessment; however, this has not been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(including one respite) were reviewed on the electronic medication system.  All medication charts had photo identification and 12 of 14 medication charts identified the resident’s allergy status.  ‘As required’ medication had indications for use and staff recorded the effectiveness of ‘as required’ medications in the electronic system.  There was evidence of three-monthly reviews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on-site.  There is a senior cook on duty Sunday to Thursday and weekend/relieving cook covering other days.  Both cooks are qualified.  They are supported by morning and afternoon kitchenhands.  All kitchen staff have completed food safety training.  The five-weekly menu has been reviewed by a dietitian November 2017.  The cook receives a resident dietary profile and are notified of any dietary changes.  Special diets are accommodated as required.  The main meal is at midday.  Meals are served from a bain marie to residents in the adjacent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23 January 2019.  There are temperature recordings for the freezer, chiller and all facility fridges.  End-cooked temperatures are taken on all foods for both main meals.  The food was stored appropriately and all dated.  The dishwasher is serviced monthly by the chemical provider.  Chemicals are stored safely in the kitchen.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feedback on the meals through resident meetings and surveys and directly during meal service.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decision to residents/family/whānau and the referring agency.  Anyone declined entry is referred back to the referring agency for appropriate placement and advice.  Reasons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including discharge summaries, medical notes, homecare assessments and in consultation with the resident and their relative where appropriate.  The interRAI assessment tool is implemented for long-term residents.  Electronic resident files included a wide range of assessments that, in association with interRAI, form the basis for the development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on the electronic Leecare system described the supports required to meet the resident’s goals and needs (link 1.3.6.1).  Outcomes of interRAI assessments linked to the care plans.  There was evidence of allied health care involvement in the resident files reviewed including wound nurse, diabetes nurse, district nurse and mental health services for the older person.  Residents and their family/whānau interviewed, reported that they were involved in the care planning and review process.  Short-term care plans were in use for changes in health status.  Staff interviewed reported they found the care plans easy to follow and were well informed regarding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care plan and report progress against the care plan each shift at handover.  If external nursing or allied health advice is required, the RNs will initiate a referral (eg, to the district nurse, hospice nurse and wound care specialist nurse).  If external medical advice is required, this will be actioned by the GPs.  Relatives interviewed stated they were informed of any health changes to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were in place for 10 residents with wounds including lesions, chronic wounds, one surgical wound and two healing pressure injuries (community acquired).  All wounds have been reviewed in appropriate timeframes.  There was no wound assessment in place for the respite care resident with broken skin on the sacrum.  The care summary for another resident with a community acquired pressure injury did not have this identified on the care summary.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an understanding of the individualised needs of residents.  There was evidence of pressure injury prevention interventions such as two hourly turning charts, food and fluid charts, regular monitoring of bowels and regular (monthly or more frequently if required) weighs.  Monitoring charts had been consistently documented on the worklog.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meets the recreational needs of rest home level care residents and reflects normal patterns of life.  The service employs a recreation officer who works Sunday to Thursday 9 am – 4.30 pm.  She is supported by 20 volunteers who drive the van, assist with on-site activities, church services and one-on-one activities.  Activities on Fridays are facilitated by the residents such as calling bingo.  Currently there is a Duke of Edinburgh student and a student volunteer.  There are plentiful resources and activity nooks within the facility.  The activities are displayed, and residents notified of any changes due to impromptu or weather dependant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activity programme is resident-focused and is planned around meaningful everyday activities and includes board games, puzzles, reading, life stories, bowls, card groups, gardening sit and be fit, music and sing-a-longs and news reading.  Festive occasions and themed events are celebrated.  There are interactive weekly visits from pre-school and school children.  There are regular outings and scenic drives including weekly shopping, café visits etc.  Eden initiatives include kind hearts baking group, knit and natter group and community garden (link CI 1.1.12.1).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residents have regular input into review of the wider programme (via Eden circles and resident surveys) and this feedback is considered in the development of the resident’s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and tree of life is completed on admission in consultation with the resident/family (as appropriate).  The recreation officer is involved in the six-monthly review of the care plan and activity plan.  Relatives interviewed advised that the activity programme was interesting with lots of choice, and the residents were encouraged to participate.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and all long-term care plans six monthly or earlier due to health changes.  The evaluation of care against resident goals (case conference) is completed in consultation with the GP, clinical nurse manager, recreation officer and resident/relative (as appropriate).   There was at least a three-monthly review by the GP.  The RN completing the plan signs care plan reviews.  Short-term care plans sighted were evaluated and resolved or added to the long-term care plan if the problem is ongoing, as sighted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all stored safely throughout the facility.  Safety data sheets are available.  The service is actively recycling items and reducing the use of plastic items, for example, replacing plastic water cooler cups with polycarbonate cups.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that expires 5 April 2020.  There is a maintenance person who works three hours a day from Monday to Friday.  Requests for repairs are documented in a maintenance request book.  There is a monthly planned maintenance schedule that includes environmental and resident equipment checks.  Electrical equipment has been tested and tagged.  Clinical equipment has been calibrated.  Water temperature monitoring of different rooms is carried out each month (sighted) and complies with regulations.  Essential contactors are available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has 44 single rooms.  The Eden cottage is a family/whānau accommodation area.  The physical environment allows easy access and movement for the residents and promotes independence for residents with mobility aids.  There is safe access to all communal areas, gardens and grounds.  There are outdoor ramps with handrails, outdoor seating, shaded areas and raised garden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 hand basin.  There is one room with an ensuite.  There are an adequate number of toilet and showering facilities.  Privacy locks and privacy curtains are in place.  The bathroom and toilets have appropriate flooring and handrails.  All residents interviewed confirmed their privacy was maintained while attending to personal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central dining room for the residents adjacent to the kitchen area.  There is a large main lounge, smaller TV lounge, family room, conservatory area and seating alcoves throughout the facility.  All areas are easily accessible for the residents.  The furnishings and seating are appropriate for the resident group.  Residents were seen to be moving freely within the communal areas throughout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staff to clean the facility.  The cleaners’ trolleys are well equipped, and all chemical bottles are labelled.  Protective wear including plastic aprons, gloves and goggles are available in the two sluice rooms and laundry.  Staff observed on the day of audit were wearing correct protective clothing when carrying out their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operates daily from 10 am to 4 pm and launders all linen and personal clothing.  The laundry is locked after hours.  The laundry has a clean/dirty flow.  The chemical provider monitors the effectiveness of laundry processes.  Residents expressed satisfaction with cleaning and laundry services and that the staff take great care of their clothing.  Laundry and cleaning staff have completed a NZ certificate in level two.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business management plan in place to ensure health, civil defence and other emergencies are included.  Staff interviewed were able to describe the emergency management plan and how to implement this.  Emergencies, first aid and CPR are included in the mandatory in-service programme.  At least one staff member is on duty at all times with a current first aid certificate.  A fire evacuation plan is in place that has been approved by the New Zealand Fire Service.  Six-monthly fire evacuation drills have been completed.  A contracted service provides checking of all facility equipment including fire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supplies including radios, batteries and food.  There are two portable generators, barbeques and gas bottles available.  There is sufficient bottled water and an external 10,000 litre water tank.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Afternoon and night shift complete security rounds of the facility.  The building is secure after hours.  There is call bell access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Improvement Note:</w:t>
            </w:r>
          </w:p>
          <w:p w:rsidR="00EB7645" w:rsidRPr="00BE00C7" w:rsidP="00BE00C7">
            <w:pPr>
              <w:pStyle w:val="OutcomeDescription"/>
              <w:spacing w:before="120" w:after="120"/>
              <w:rPr>
                <w:rFonts w:cs="Arial"/>
                <w:b w:val="0"/>
                <w:lang w:eastAsia="en-NZ"/>
              </w:rPr>
            </w:pPr>
            <w:r w:rsidRPr="00BE00C7">
              <w:rPr>
                <w:rFonts w:cs="Arial"/>
                <w:b w:val="0"/>
                <w:lang w:eastAsia="en-NZ"/>
              </w:rPr>
              <w:t>Two volunteers who undertake driving did not have a first aid certificate.  Both drivers take the van out with residents for a drive.  There is no first aid trained staff member travelling with them and the service should consider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the clinical nurse manager who is new to the role.  She is supported by the manager who has a level seven IC qualification.  Infection control reporting is integrated into the senior team meeting for discussion around events, trends and corrective actions (link 1.2.3.6).  The infection control programme, and its content and detail, is appropriate for the size, complexity and degree of risk associated with the service.  The scope of the infection control programme policy and infection control programme description is available.  The programme is reviewed annually in consultation with all PSC infection control coordinators peer support day held with the clinical director and nurse consultant.</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There is sufficient personal protective equipment available.  Residents are offered the influenza vaccine.  An outbreak of Norovirus May 2019 was managed well and reported to Public Health and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supported by the manager who has completed infection control qualifications.  The manager attends the annual peer support training within the organisation that includes in-service, review of policies/procedures, outbreak management and sharing of information/experiences and the new IC coordinator will join this overall team.  The service has access to expertise within the organisation, DHB infection control nurse specialist, public health, GPs and laboratory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IC policies, standards and guidelines and includes defining roles, responsibilities and oversight, the infection control team, training and education of staff.  The infection control policies and procedures are developed and reviewed by the organisational policy review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part of the two-yearly cycle of mandatory training schedule and opportunist training throughout the year.  All staff complete infection control education and workbook on orientation.  Infection control is not discussed at all facility meetings (link 1.2.3.6).  Hand hygiene audits are completed annually.  There is an infection control board in the staff room with notices that keep staff informed on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daily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The RNs complete an infection event form which alerts the infection control coordinator of resident infections.  Monthly infection events are collated on the Lee care system with an end of month trends and analysis.  Corrective actions for events above the benchmarking KPIs is reported to the senior team.  Internal infection control audits also assist the service in evaluating infection control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support of the use of enablers and restraints.  The policy meets the intent of the restraint minimisation standards.  The clinical nurse manager is the restraint coordinator and has a job description, which defines the responsibility of the role.  There were no residents with restraint and no residents with enablers on the day of audit.  Restraint minimisation and enablers and challenging behaviour education is completed on orientation and included in the education planner.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78"/>
        <w:gridCol w:w="1280"/>
        <w:gridCol w:w="6017"/>
        <w:gridCol w:w="3026"/>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comprehensive corrective action plans for any areas that require improvement following internal audits.  Three monthly reviews of incidents and accidents and infection control are also documented with corrective action plans documented as needed.  Corrective action plans document sign off when completed and progress updates for ongoing issues.  Senior staff meetings are held monthly.  Discussion of the data is not well documented through clinical team meetings or staff meetings, which are only held infrequently.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surveys are undertaken annually and document that Willard home performs well when compared with other PSC homes.  This information has not been communicated to the families or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(i)Clinical meetings do not document discussion of internal audits or incidents and accidents.  Staff meetings are held infrequently with two meetings documented, one for November 2018 and one for June 2019, and do not document discussion of any quality information.</w:t>
            </w:r>
          </w:p>
          <w:p w:rsidR="00EB7645" w:rsidRPr="00BE00C7" w:rsidP="00BE00C7">
            <w:pPr>
              <w:pStyle w:val="OutcomeDescription"/>
              <w:spacing w:before="120" w:after="120"/>
              <w:rPr>
                <w:rFonts w:cs="Arial"/>
                <w:b w:val="0"/>
                <w:lang w:eastAsia="en-NZ"/>
              </w:rPr>
            </w:pPr>
            <w:r w:rsidRPr="00BE00C7">
              <w:rPr>
                <w:rFonts w:cs="Arial"/>
                <w:b w:val="0"/>
                <w:lang w:eastAsia="en-NZ"/>
              </w:rPr>
              <w:t>(ii) Resident and family survey results are not communicated back to residents, family or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meetings document that all staff are informed of quality information and any actions needed.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survey results are communicated to survey respondents and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self-medicating regular inhalers as prescribed.  There was an initial assessment but no three-monthly reviews thereafter.  The resident had been self-medicating for a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three-monthly RN/GP review of the resident’s ability to continue self-medicating.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self-medication assessments are reviewed at least three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reviewed met prescribing requirements.  There was photo identification on all medication charts, however not all medication charts identified the resident’s allergy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fourteen medication charts did not identify the resident allergy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medication charts have an allergy status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are completed on the Leecare system.  Assessment include a body map, size of wound, dressing application and frequency of dressings.  Pain is also considered on assessment.  There were continuing evaluations documented.  One resident with a sacral break in skin integrity did not have a wound assessment and there was no documentation in the care summary for another resident with a pressure injury (community acquired).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respite care resident was identified to have a break in skin integrity of the sacrum on admission but there was no wound assessment evident for the sacral wound. </w:t>
            </w:r>
          </w:p>
          <w:p w:rsidR="00EB7645" w:rsidRPr="00BE00C7" w:rsidP="00BE00C7">
            <w:pPr>
              <w:pStyle w:val="OutcomeDescription"/>
              <w:spacing w:before="120" w:after="120"/>
              <w:rPr>
                <w:rFonts w:cs="Arial"/>
                <w:b w:val="0"/>
                <w:lang w:eastAsia="en-NZ"/>
              </w:rPr>
            </w:pPr>
            <w:r w:rsidRPr="00BE00C7">
              <w:rPr>
                <w:rFonts w:cs="Arial"/>
                <w:b w:val="0"/>
                <w:lang w:eastAsia="en-NZ"/>
              </w:rPr>
              <w:t>(ii)  The care summary for another resident admitted with a pressure injury did not identify the presence of a pressure injury or pressure injury preventions 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there are wound assessments for all wounds. </w:t>
            </w:r>
          </w:p>
          <w:p w:rsidR="00EB7645" w:rsidRPr="00BE00C7" w:rsidP="00BE00C7">
            <w:pPr>
              <w:pStyle w:val="OutcomeDescription"/>
              <w:spacing w:before="120" w:after="120"/>
              <w:rPr>
                <w:rFonts w:cs="Arial"/>
                <w:b w:val="0"/>
                <w:lang w:eastAsia="en-NZ"/>
              </w:rPr>
            </w:pPr>
            <w:r w:rsidRPr="00BE00C7">
              <w:rPr>
                <w:rFonts w:cs="Arial"/>
                <w:b w:val="0"/>
                <w:lang w:eastAsia="en-NZ"/>
              </w:rPr>
              <w:t>(ii)  Ensure care plans include identification of pressure injuries and strategies for pressure injury prevention.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59"/>
        <w:gridCol w:w="1280"/>
        <w:gridCol w:w="4079"/>
        <w:gridCol w:w="73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access to visitors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had a vision of a shared space where all feel welcome and where Willard and its residents are useful contributing members of their community.  They also wanted to grow fresh produce to use in the home and to give away.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commenced a project that worked alongside of and was complimentary to business as usual.  The concept of creating a space that enabled residents to become involved and to be useful and productive community members.</w:t>
            </w:r>
          </w:p>
          <w:p w:rsidR="00EB7645" w:rsidRPr="00BE00C7" w:rsidP="00BE00C7">
            <w:pPr>
              <w:pStyle w:val="OutcomeDescription"/>
              <w:spacing w:before="120" w:after="120"/>
              <w:rPr>
                <w:rFonts w:cs="Arial"/>
                <w:b w:val="0"/>
                <w:lang w:eastAsia="en-NZ"/>
              </w:rPr>
            </w:pPr>
            <w:r w:rsidRPr="00BE00C7">
              <w:rPr>
                <w:rFonts w:cs="Arial"/>
                <w:b w:val="0"/>
                <w:lang w:eastAsia="en-NZ"/>
              </w:rPr>
              <w:t>The project plan reviewed the unused spaces around the home, and it was decided to develop a community garden and space.  The project plan included fundraising, recruiting volunteers and encouraging the community to be part of the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garden and vegetable garden have been created; fruit trees have also been planted.  The children care for the chooks. </w:t>
            </w:r>
          </w:p>
          <w:p w:rsidR="00EB7645" w:rsidRPr="00BE00C7" w:rsidP="00BE00C7">
            <w:pPr>
              <w:pStyle w:val="OutcomeDescription"/>
              <w:spacing w:before="120" w:after="120"/>
              <w:rPr>
                <w:rFonts w:cs="Arial"/>
                <w:b w:val="0"/>
                <w:lang w:eastAsia="en-NZ"/>
              </w:rPr>
            </w:pPr>
            <w:r w:rsidRPr="00BE00C7">
              <w:rPr>
                <w:rFonts w:cs="Arial"/>
                <w:b w:val="0"/>
                <w:lang w:eastAsia="en-NZ"/>
              </w:rPr>
              <w:t>The service reports that the garden is being used each day; this includes residents, families, visitors, staff, children and animals.  For over twelve months, there has always been something growing, and produce has been used in the kitchen and provided to staff, resident’s families and visitors.  The kindergarten and school children are regular visitors to the garden, providing wonderful interaction between the generations.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talked about seeing the children in the garden and clearly enjoyed the garden.  Willard won an award at the recent PSC awards ceremony.  At the time of audit more schools had expressed a desire to be part of the garden and now have their own garden areas joined to the main area.</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Willard Elderly Care</w:t>
    </w:r>
    <w:bookmarkEnd w:id="58"/>
    <w:r>
      <w:rPr>
        <w:rFonts w:cs="Arial"/>
        <w:sz w:val="16"/>
        <w:szCs w:val="20"/>
      </w:rPr>
      <w:tab/>
      <w:t xml:space="preserve">Date of Audit: </w:t>
    </w:r>
    <w:bookmarkStart w:id="59" w:name="AuditStartDate1"/>
    <w:r>
      <w:rPr>
        <w:rFonts w:cs="Arial"/>
        <w:sz w:val="16"/>
        <w:szCs w:val="20"/>
      </w:rPr>
      <w:t>11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