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Waverley Aged Care Limited - Waverley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Waverley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Waverley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July 2019</w:t>
      </w:r>
      <w:bookmarkEnd w:id="7"/>
      <w:r w:rsidRPr="009418D4">
        <w:rPr>
          <w:rFonts w:cs="Arial"/>
        </w:rPr>
        <w:tab/>
        <w:t xml:space="preserve">End date: </w:t>
      </w:r>
      <w:bookmarkStart w:id="8" w:name="AuditEndDate"/>
      <w:r w:rsidR="00A4268A">
        <w:rPr>
          <w:rFonts w:cs="Arial"/>
        </w:rPr>
        <w:t>8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Waverley House provides rest home level care for up to 20 residents.  There was full occupancy on the day of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rest home has been owned and operated by the owner/director (non-clinical) since 2004.  She is supported by an experienced full-time registered nurse.  Residents, family members and the general practitioner interviewed commented positively on the care and services provided.</w:t>
      </w:r>
    </w:p>
    <w:p w:rsidRPr="00A4268A">
      <w:pPr>
        <w:spacing w:before="240" w:line="276" w:lineRule="auto"/>
        <w:rPr>
          <w:rFonts w:eastAsia="Calibri"/>
        </w:rPr>
      </w:pPr>
      <w:r w:rsidRPr="00A4268A">
        <w:rPr>
          <w:rFonts w:eastAsia="Calibri"/>
        </w:rPr>
        <w:t>This audit identified areas for improvement relating to staff meeting information, care plan interventions and neurological observations.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Waverley House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family members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Quality management processes are reflected in the business plans, goals, objectives and policies.  There is a current business plan in place.  A risk management programme is in place.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the service delivery.  Residents are assessed prior to entry to the service to establish a level of care.  The initial support plans, baseline assessments and care plans guide staff in the safe delivery of care to the residents.  The care plans are resident, and goal orientated and reviewed every six months or earlier if required.  Input from the resident/family is evident in the service delivery.  Integration of allied health and a team approach is evident in the resident files reviewed.  The general practitioner reviews residents three monthly or more often as required.  Residents interviewed confirmed that they were happy with the care provided.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There is a secure medication system at the facility.  Medication charts are reviewed three monthly by the general practitioner.  The registered nurses and senior caregivers that administer medication have annual medication competency assessments and receive annual education.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accommodated.  The kitchen is well equipped for the size of the service.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Emergency systems are in place in the event of a fire or external disaster.  There is a staff member on duty across 24/7 with a current first aid certificate.</w:t>
      </w:r>
    </w:p>
    <w:p w:rsidRPr="00A4268A">
      <w:pPr>
        <w:spacing w:before="240" w:line="276" w:lineRule="auto"/>
        <w:rPr>
          <w:rFonts w:eastAsia="Calibri"/>
        </w:rPr>
      </w:pPr>
      <w:r w:rsidRPr="00A4268A">
        <w:rPr>
          <w:rFonts w:eastAsia="Calibri"/>
        </w:rPr>
        <w:t xml:space="preserve">The building holds a current warrant of fitness.  Chemicals are stored safely throughout the facility.  Appropriate policies are available along with product safety charts.  Resident rooms are spacious with an adequate number of shower and toilet facilities for the number of residents.  There is wheelchair access to all areas.  Internal areas are well ventilated and warm.  External areas are safe and well maintained.  Fixtures, fittings and flooring is appropriate and toilet/shower facilities are constructed for ease of cleaning.  Documented policies and procedures for the cleaning and laundry services are implemented with appropriate monitoring systems in place to evaluate the effectiveness of these services.  External providers are utilised for the maintenance service.  </w:t>
      </w:r>
    </w:p>
    <w:p w:rsidRPr="00A4268A">
      <w:pPr>
        <w:spacing w:before="240" w:line="276" w:lineRule="auto"/>
        <w:rPr>
          <w:rFonts w:eastAsia="Calibri"/>
        </w:rPr>
      </w:pPr>
      <w:r w:rsidRPr="00A4268A">
        <w:rPr>
          <w:rFonts w:eastAsia="Calibri"/>
        </w:rPr>
        <w:t>Appropriate training, information and equipment for responding to emergencies are provided.  There is an approved evacuation scheme and emergency supplies for at least three days.  There is a staff member on duty across 24/7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monitoring and review of restraint and enablers.  There were no residents with restraints and no residents with an enabler at the time of the audit.  Staff receive training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The type of surveillance undertaken is appropriate to the size and complexity of the organisation.  Results of the surveillance are acted upon and evaluated in a timely manner.  There had been one norovirus outbreak in January 2018 which was appropriately managed and well documented.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7"/>
        <w:gridCol w:w="1280"/>
        <w:gridCol w:w="9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one registered nurse (RN), four caregivers, and one activities person confirmed their familiarity with the Code.  Four residents and two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in place.  General consents obtained on admission were sighted in the five rest home resident files reviewed.  Consents were sighted for specific procedures.  Advance directives were on the resident files where residents had stated a preference.  Resuscitation plans were 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families interviewed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five long-term residents (under the ARCC)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right to access advocacy and services is identified for residents.  Advocacy leaflets are available in the service reception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The manager and the RN operate an ‘open door’ policy.  Residents and relatives confirmed they are aware of the complaints process.  Caregivers interviewed were able to describe the process around reporting complaints.  There were three complaints made in 2018 and one complaint received in 2019 year-to-date.  Complaints reviewed included follow up action and implemented corrective actions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advocacy pamphlets are located at the main entrance of the service.  On admission, the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The manager was observed discussing care with a prospective family member.  The information was comprehensive and evidenced the service’s family approach to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and resident’s privacy and dignity.  House rules are signed by staff at commencement of employment.  Residents and relatives interviewed reported that residents can choose to engage in activities and access community resources.  There is an abuse and neglect policy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There is a Māori health plan.  On the day of the audit there were no residents who identified as Māori.  Discussions with staff confirmed that they are aware of the need to respond with appropriate cultural safety.  Treaty of Waitangi training and cultural awareness was provided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ethics, and advocacy and legal issues.  The orientation programme provided to staff on induction includes an emphasis on privacy and personal boundaries.  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individualised needs of residents appropriate to rest home level care.  The quality programme is designed to monitor contractual and standards compliance and the quality of service delivery in the facility.  Staffing policies include pre-employment, the requirement to attend orientation and ongoing in-service training.  Monthly staff/quality meetings and regular residents’ meetings are conducted.  Residents and relatives interviewed spoke positively about the care and support provided.  Staff interviewed stated that they feel supported by the manager and RN.  Improvements to the facility since previous audit have included, painting and decoration as rooms become available, a new hoist, upgraded heating, new lighting for the lounge, dining and hallways and garden maintenance.  Meeting minutes and observation of mealtimes reflect an emphasis on maintaining a calm environment for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facility manager and RN confirmed family are kept informed.  One relative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Waverley House is privately owned by the manager.  The service provides care for up to 20 residents at rest home level care.  On the day of the audit, there were 20 residents in total.  All residents were under the age residential related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quality and risk plan developed, which aligns with purpose, mission and values of the business.  The manager is a non-practicing enrolled nurse who has many years aged care experience.  She has been the owner/manager of Waverley House since 2004.  The manager is supported by an RN, (who has been in the role since 2014), and also an administrative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including clinically based training and emergency planning with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in the event of her temporary absence the RN fills her role with support from the administrative person and other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in place.  The quality system developed by an external consultant includes comprehensive policies and procedures.  Staff meetings reviewed document discussion of policies as part of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plan and business plan.  The business plan had been reviewed annually.  The quality/staff meetings document: discussion and follow-up of quality data, incidents and accidents, complaints (where they occur) and restraint.  Health and safety and infection control are not documented as discussed.  There are a series of quality improvement plans in place including new care plan templates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per the annual audit programme.  Corrective actions have been developed for all opportunities for improvements identified through quality activities as well as repeat audits to ensure that services have improved.  Staff complete hazard identification forms for identified/potential hazards.  A current hazard register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incident and accident information reported by staff on a paper-based system.  Incident and accident data is collected and analysed monthly and a report documented for the monthly quality/staff meeting.  Twelve resident related incident forms were reviewed for June 2019.  The forms included a section to record family notification.  All forms reviewed indicated family were informed or if family did not wish to be informed.  Relatives sign a communication sheet to inform the service when and under what circumstances they would like to be informed.  Comprehensive progress notes document follow-up and care post incidents.  Care staff interviewed were knowledgeable regarding the care needs (including high falls) for all residents.  Discussions with the manager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RN has a current practising certificate.  Five staff files were reviewed (one RN, three caregivers and one cook).  Evidence of signed employment contracts, job descriptions, orientation and training were in the files reviewed.  Annual performance appraisals have been conducted for all staff as they fall due.  Newly appointed staff complete an orientation that is specific to their job description.  Care staff interviewed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training schedule for in-service education, all mandatory training except H&amp;S has been completed in the last two years.  Health &amp; Safety training was scheduled for this month.  Staff complete competencies relevant to their roles.  The RN is trained and competent in the use of the interRAI assessment tool.  The RN and senior caregivers all have a first aid certificate and medication competency.  This ensures that there is at least one staff member on all shifts with a first aid certificate and a current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RN is on site for eight hours a day during weekdays and on-call after hours and on weekends.  The RN is supported by two caregivers on the morning shift, two during the afternoon shift (one long shift and one short shift) and one on night shift.  An activities person is employed for 12 hours per week.  A home assistant is employed seven days per week for laundry and cleaning.  The caregivers, residents and relatives interviewed informed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can be referenced and retrieved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procedures in place.  Residents and family received an information pack outlining services able to be provided.  All residents had the appropriate needs assessment on admission to the service.  All five resident files reviewed had signed admission agreements in place.  Admission agreements reflect all the contractual requirements.  Exclusions from the service are included in the admission agreement.  Residents interviewed reported that the admission agreements were discussed with them in detail by the owner/manager.  The RN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in a timely and safe manner.  Planned exits, discharges or transfers are coordinated in collaboration with the resident and family to ensure continuity of care.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align with recognised standards and guidelines for safe medicine management practice.  Clinical staff (registered nurses and senior caregivers) who administer medications have been assessed for competency on an annual basis and attend annual medication education.  Medication received (robotic rolls) are checked on delivery against the medication chart by the registered nurse and stored safely in a locked room.  Original labels were present on medication in the medication room.  The staff administering medications complied with the medication administration policies and procedures as evidenced in the observed medication round on the day of audit.  The controlled drug safe and documentation were verified as compliant.  Controlled drug check was verified for the one controlled drug in stock, all entries and balances brought forward were documented correctly.  There were no residents who self-administer their own medicines on the day of the audit.  The service does not utilise standing orders.  Medication fridge temperatures are monitored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and an allergy status.  The GP reviews the medication charts at least three-monthly.  The administration signing sheets reviewed identified medications had been administered as prescribed.  ‘As needed’ medication administered had their indications for use documented and outcomes were documented in assessment forms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include the principles of food safety, ordering, storage, cooking, reheating and food handling.  There is a well-equipped kitchen and all meals are prepared and cooked on site by the cook.  There is a food service manual in place to guide the staff.  The cook has had food safety training.  The service had a current food control plan valid until 30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There is a 4-week seasonal menu in place.  Residents are provided with meals that meet their food, fluids and nutritional needs.  The registered nurse completes a nutritional profile for each resident on admission and provides the cook with the dietary requirement form.  Dislikes and other meal preferences are known and accommodated.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food temperatures were monitored and recorded daily.  All containers of food stored in the pantry are labelled and dated.  All perishable goods were date labelled.  A cleaning schedule for the kitchen was maintained.  Cooked meals are plated from the kitchen directly to the dining room.  The meals were well-presented, and residents confirmed that they are provided with alternative meals as per request.  All residents are weighed regularly.  Residents with weight loss problems are provided with food supplements.  Residents and family members interviewed spoke positively about the food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potential resident’s entry to the service is declined, the decision and reason is communicated to potential residents/family and referring agency for appropriate placement and advice.  The manager reported that the district health board needs assessors and social workers contact the manager to discuss the suitability of the resident prior to sending the resident and their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registered nurse utilises standardised assessment tools to gather information regarding the resident, in consultation with the resident and their relatives where appropriate.  All five resident files sampled contained appropriate completed assessment tools and interRAI assessments that were reviewed at least six monthly or when there is a change to a resident’s health condition.  The interRAI assessments have been completed for all residents within the required timeframes.  The long-term care plans sampled reflected the outcome of the assessments.  Additional assessments were completed according to the need (eg, for pain, skin integrity and continence).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sampled were resident-focused and personalised, however not all care plans reflected the resident’s current health status.  There was evidence of allied health care professionals involved in the care of the resident.  There was documented evidence of resident and/or family input ensuring a resident-focused approach to care.  Residents and family members confirmed on interview they are involved in the care planning and review process.  All long-term care plans sampled were reviewed and updated in a timely manner.  Short-term care plans are evident in the sampled files and have been developed following a change in health status.  Interventions addressed the desired outcomes/goals.  Integration of records and monitoring documents was evident.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caregivers follow the care plan and report progress of the resident at each shift handover.  When a resident's condition alters, the registered nurse initiates a review and if required, arranges a GP visit.  If external medical advice is required, this will be actioned by the GP.  There was evidence of three-monthly medical reviews or earlier for health status changes.  There was evidence that family members were notified of any changes to their relative’s health including (but not limited to) accident/incidents, infections, health professional visits and changes in medications.  Discussions with families and notifications are documented.  Caregivers interviewed stated there is adequate access to medical supplies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Three wounds were being treated by the service on the day of the audit.  Wound assessments and wound care plans (include dressing type and evaluations on change of dressings) were in place for all three wounds.  There is access to the DHB wound nurse specialist for advice for wound management as required.  The service had no reported pressure injuries at the time of the audit.  The registered nurse interviewed could describe the referral process to the specialist wound care or continence nurse through the DHB.  The service maintains close links with the local district health board and clinical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registered nurse and caregivers demonstrated an understanding of the individualised needs of residents and confirmed they are updated of any changes in resident’s care or treatment.  Residents interviewed confirmed care delivery and support by staff is consistent with their expectations and expressed satisfaction with the clinical care.  Monitoring occurs for weight, vital signs and blood glucose.  Neurological observations following unwitnessed falls were not always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activity coordinator for three hours, four days per week to operate the activities programme.  Activities provided are appropriate to the needs, age and culture of the residents.  The activities are physically and mentally stimulating.  The activities coordinator interviewed displayed an understanding of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programme was posted in the lounge and include exercises, singing, pamper time, scenic drives, reminiscing, pet therapy games and church services.  Residents are encouraged to maintain community links through activities such as the RSA lunches, a monthly social with another local rest home and a morning tea held at the local church.  Birthdays and other special events such as Mother’s Day, ANZAC, Easter and St Patricks day are celebrated.  The activity plans sampled were well-documented and reflected the resident’s preferred activities and interests.  Each resident has an individual activities assessment on admission and from this information an individual activity care plan is developed.  The activities plan is reviewed six monthly, and monthly updates were documented on the resident’s progress towards goals.  The residents’ activities participation log was sighted.  Interviewed residents and family members indicated the activities provided by the service are adequate and enjoyable.  On the day of audit, some residents were observed being actively involved in a group game, while others were socialising with family in the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files sampled demonstrated that the initial care plans are evaluated by the registered nurse within three weeks of admission.  Long-term care plan evaluations sighted have been reviewed at least six monthly.  The registered nurse completing the plan signs the care plan reviews.  Residents and families are involved in the care plan reviews, by signing the next of kin documentation form.  Short-term care plans reviewed had been utilised for all short-term care issues.  The care staff document in the progress notes on every shift.  Registered nurse entries in progress notes were evident.  The GP completes a three-monthly resident review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The registered nurse initiates referrals to clinical nurse specialists and wound care specialist.  There was evidence of referrals by the GP to other specialist services.  The residents and the families are kept informed of the referrals made by the service.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with waste management.  All chemicals were securely stored.  Storage areas both inside and outside were locked.  Chemical bottles sighted had correct manufacturer labels, and safety data sheets were available and accessible in all service areas.  The hazard register is current.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on 1 November 2019.  There are established systems in place to ensure the physical environment and facilities are safe and fit for their purpose.  </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external contractors on referral by the manager.  The electrical safety test tag system shows this had occurred.  The facility is being maintained in good repair.  All maintenance records were reviewed and are clearly documented.  Review of the records revealed temperatures are all below 45 degrees Celsius and whenever it was out of range, corrective actions have been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safely designed sheltered courtyards with appropriate seating and shade covering.  The facility has sufficient space for residents to mobilise using mobility aids and residents were observed moving around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 environment was suitable and safe to meet their needs.  Staff stated they had sufficient equipment to safely deliver the cares as outlined in the resident care plans.  Servicing for the hoist was scheduled as evidenced.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in the rest home.  There are adequate communal showers and toilets with locks and shower curtains.  Three resident rooms have ensuites.  All bathrooms and toilets are maintained to a good standard, are constructed for ease of cleaning walls and floors.  The hot water temperatures are monitored monthly.  Residents interviewed confirmed their privacy is assured when staff are undertaking personal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All resident rooms are single.  Residents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dining room and a lounge area which is suitable for the residents and the care setting.  There is adequate room for facilitating activities as observed.  Appropriate comfortable seating is provided both within the facility and outside.  The dining rooms and lounge are within easy walking distances to bedrooms and common areas.  Residents interviewed confirmed they use their rooms or external areas if they want privacy or quiet time.  All furniture is safe and suitable for the rest home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laundered on site in a designated laundry area with defined clean and dirty areas.  There is a dedicated cleaning/laundry person Monday to Friday and caregivers’ complete basic laundry and cleaning duties at the weekends.  The cleaning trolley is locked in a designated area when not in use.  The chemicals are stored appropriately in a locked cupboard in the laundry.  The service conducts regular reviews and internal audits of cleaning and laundry services to ensure these are safe and effective.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management/business management plan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a current first aid certificate.  Six-monthly fire evacuation drills have been completed.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including radios, batteries and food.  There is sufficient stored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and safe ventilation.  The environment is maintained at a safe and comfortable temperature.  All bedrooms have adequate natural light.  Residents and family members interviewed were satisfied with their surroundings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Waverly House has an established infection control (IC) programme.  The infection control programme is appropriate for the size, complexity and degree of risk associated with the service.  The registered nurse is the designated infection control person with support from all staff.  Infection control rates are collated monthly.  Education has been provided for staff.  The infection control programme has been reviewed annually.  Visitors are asked not to visit if unwell.  Hand sanitisers are appropriately placed throughout the facility.  Residents and staff are offered the influenza vaccine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(IC) person has maintained practice standards by attending external training.  External resources and support from the infection control nurse at the DHB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roles, responsibilities, procedures,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ongoing education of staff.  Education is provided to residents and family in the course of daily support on a one-to-one basis.  Staff and residents interviewed were able to describe infection prevention practices that are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Waverley House infection control policies.  Systems in place are appropriate to the size and complexity of the facility.  Monthly infection data is collected for all infections based on signs and symptoms of infection and antibiotic usage.  Trends are identified and analysed, and preventative measures put in place.  Surveillance of all infection control data is not reported at staff meetings (link 1.2.3.6).  On review of the surveillance data the infection rate is very low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RN is the restraint coordinator.  On the day of the audit there were no residents with restraints and no residents with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challenging behaviour education are included in the training programme.  Restraint use is on the agenda at the staff meetings and past restraint minimisation meetings were evidenced when restraint was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4"/>
        <w:gridCol w:w="1280"/>
        <w:gridCol w:w="6039"/>
        <w:gridCol w:w="2663"/>
        <w:gridCol w:w="17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staff meetings are documented, they include discussion of incident and accident data, complaints and training and follow-up from identified issues.  Health and safety and infection control are not documented as discussed.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meetings do not document discussion of health and safety or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health and safety and infection control are agenda items for the monthly staff/quality meetings to ensure staff are updated.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were developed based on detailed assessments and in consultation with the resident/relative.  Long-term care plans were in place for all residents; however, four of the five long-term care plans had not been updated to reflect the resident currents needs and interventions to safely guide care staff in the delivery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long-term care plans reviewed did not include all interventions to support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(i)  Three residents with challenging behaviours did not have documented interventions in place regarding management of challenging behaviours, identification of triggers and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documented falls prevention interventions for two residents identified as high falls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(ii) Ensure care plans reflect the needs/supports and interventions to meet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residents’ health and well-being including blood pressure and pulse, weight, blood sugar levels, behaviour, food and fluid intake.  Short-term care plans are used to document short-term needs and supports.  Short-term care plans sighted on the day of audit included urinary tract infection, wounds and skin tear.  These had been reviewed regularly and signed off when resolved or transferred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with unwitnessed falls did not have neuro observations monitored and recorded post-falls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 observations are completed for all residents that had unwitnessed falls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Waverley Aged Care Limited - Waverley House Rest Home</w:t>
    </w:r>
    <w:bookmarkEnd w:id="58"/>
    <w:r>
      <w:rPr>
        <w:rFonts w:cs="Arial"/>
        <w:sz w:val="16"/>
        <w:szCs w:val="20"/>
      </w:rPr>
      <w:tab/>
      <w:t xml:space="preserve">Date of Audit: </w:t>
    </w:r>
    <w:bookmarkStart w:id="59" w:name="AuditStartDate1"/>
    <w:r>
      <w:rPr>
        <w:rFonts w:cs="Arial"/>
        <w:sz w:val="16"/>
        <w:szCs w:val="20"/>
      </w:rPr>
      <w:t>8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