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Lifecare Cambridge Limited - Lifecare Cambridge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Lifecare Cambridge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Lifecare Cambridge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July 2019</w:t>
      </w:r>
      <w:bookmarkEnd w:id="7"/>
      <w:r w:rsidRPr="009418D4">
        <w:rPr>
          <w:rFonts w:cs="Arial"/>
        </w:rPr>
        <w:tab/>
        <w:t xml:space="preserve">End date: </w:t>
      </w:r>
      <w:bookmarkStart w:id="8" w:name="AuditEndDate"/>
      <w:r w:rsidR="00A4268A">
        <w:rPr>
          <w:rFonts w:cs="Arial"/>
        </w:rPr>
        <w:t>3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Lifecare Cambridge provides rest home and hospital level care for up to 57 residents. The facility is owned by Lifecare Cambridge Limited and is managed by a general manager. Residents and families spoke positively about the care provided.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Standards and the district health board contract.  The audit process included review of policies and procedures, review of residents’ and staff files, observations and interviews with residents, families, management, staff, a general practitioner and a pharmacist.</w:t>
      </w:r>
    </w:p>
    <w:p w:rsidRPr="00A4268A">
      <w:pPr>
        <w:spacing w:before="240" w:line="276" w:lineRule="auto"/>
        <w:rPr>
          <w:rFonts w:eastAsia="Calibri"/>
        </w:rPr>
      </w:pPr>
      <w:r w:rsidRPr="00A4268A">
        <w:rPr>
          <w:rFonts w:eastAsia="Calibri"/>
        </w:rPr>
        <w:t xml:space="preserve">Areas requiring improvement relate to the management of clinical governance, reporting quality data to staff, position descriptions, orientation for staff, competencies for second checkers relating to controlled drug management, medication competencies for registered nurses, restraint competencies for clinical staff, performance appraisals for registered nurses, unique identifiers on residents’ documentation and whiteout being used on a number of documents.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There were no residents at the time of audit who identified as Māori.  There was no evidence of abuse, neglect or discrimination.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general manager is responsible for the management of complaints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Lifecare Cambridge Limited is the governing body and is responsible for the service provided.  A business plan and quality and risk management systems are fully implemented at Lifecare Cambridge. Systems are in place for monitoring the service, including regular reporting by the general manager to the board.</w:t>
      </w:r>
    </w:p>
    <w:p w:rsidRPr="00A4268A">
      <w:pPr>
        <w:spacing w:before="240" w:line="276" w:lineRule="auto"/>
        <w:rPr>
          <w:rFonts w:eastAsia="Calibri"/>
        </w:rPr>
      </w:pPr>
      <w:r w:rsidRPr="00A4268A">
        <w:rPr>
          <w:rFonts w:eastAsia="Calibri"/>
        </w:rPr>
        <w:t xml:space="preserve">The facility is managed by a general manager who has been in the position for 11 years. Support is provided by the board with regular contact by the chairperson. </w:t>
      </w:r>
    </w:p>
    <w:p w:rsidRPr="00A4268A">
      <w:pPr>
        <w:spacing w:before="240" w:line="276" w:lineRule="auto"/>
        <w:rPr>
          <w:rFonts w:eastAsia="Calibri"/>
        </w:rPr>
      </w:pPr>
      <w:r w:rsidRPr="00A4268A">
        <w:rPr>
          <w:rFonts w:eastAsia="Calibri"/>
        </w:rPr>
        <w:t xml:space="preserve">There is an internal audit programme. Adverse events are documented on incident/accident forms. Corrective action plans are developed, implemented, monitored and signed off as being completed to address any areas that require improvement.  Quality, health and safety, registered nurses, staff and residents’ meetings are held on a regular basis. Actual and potential risks including health and safety risks are identified and mitigated. </w:t>
      </w:r>
    </w:p>
    <w:p w:rsidRPr="00A4268A">
      <w:pPr>
        <w:spacing w:before="240" w:line="276" w:lineRule="auto"/>
        <w:rPr>
          <w:rFonts w:eastAsia="Calibri"/>
        </w:rPr>
      </w:pPr>
      <w:r w:rsidRPr="00A4268A">
        <w:rPr>
          <w:rFonts w:eastAsia="Calibri"/>
        </w:rPr>
        <w:t>An in-service education programme is provided and staff are encouraged to complete a New Zealand Qualification Authority education programme.</w:t>
      </w:r>
    </w:p>
    <w:p w:rsidRPr="00A4268A">
      <w:pPr>
        <w:spacing w:before="240" w:line="276" w:lineRule="auto"/>
        <w:rPr>
          <w:rFonts w:eastAsia="Calibri"/>
        </w:rPr>
      </w:pPr>
      <w:r w:rsidRPr="00A4268A">
        <w:rPr>
          <w:rFonts w:eastAsia="Calibri"/>
        </w:rPr>
        <w:t>The documented rationale for determining staffing levels and skill mixes ensures staffing requirements are based on the needs of residents. Registered nurses are rostered on duty at all times. The general manager is on call after hours.</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The facility has a policy to support safe medication management.  Staff administering medication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A current building warrant of fitness is displayed. A preventative and reactive maintenance programme includes equipment and electrical checks. </w:t>
      </w:r>
    </w:p>
    <w:p w:rsidRPr="00A4268A">
      <w:pPr>
        <w:spacing w:before="240" w:line="276" w:lineRule="auto"/>
        <w:rPr>
          <w:rFonts w:eastAsia="Calibri"/>
        </w:rPr>
      </w:pPr>
      <w:r w:rsidRPr="00A4268A">
        <w:rPr>
          <w:rFonts w:eastAsia="Calibri"/>
        </w:rPr>
        <w:t>Residents' rooms have adequate personal space provided. Lounges, dining areas and alcoves are available.  External areas for sitting and shade are provided. 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are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was one resident using restraint and residents using enablers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6"/>
        <w:gridCol w:w="1280"/>
        <w:gridCol w:w="877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provided relevant guidance to staff.  Clinical files reviewed showed that informed consent has been gained appropriately using the organisation’s standard consent form and admission agreement. Advance care planning, establishing and documenting enduring power of attorney requirements and processes for residents unable to consent was defined and documented, as relevant, in the residents’ records.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and phone calls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of Health and Disability Services Consumers’ Rights (the Code). The information is provided to residents and families on admission and there is complaints information and forms available at the main entrance.  All complaints have been entered into the complaints register. Two complaints were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(GM) is responsible for complaint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reported there has been a complaint to the Health and Disability Commissioner Advocacy Service since the previous audit from a resident who was admitted for respite care. Documentation reviewed from the advocacy service evidenced two letters, the first setting out the complaint and the second stating the complainant did not want any further action to be taken. There have been no investigations by other external agencies since the previous surveillance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being made aware of the Code and the Nationwide Health and Disability Advocacy Service (Advocacy Service) as part of the admission agreement and information provided and from discussions with staff.  The Code is displayed in the main foyer/entrance area together with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maintain privacy throughout the audit.  All residents have a private room or share one of five rooms with one to two other residents, with their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attending community activities and participation in clubs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 clinical nurse leader interviewed reported that there were no residents who affiliated with their Maori culture at the time of audit. There are no barriers in supporting residents who are admitted to the facility who identify as Māori.  There is no specific current Māori health plan, however all values and beliefs are acknowledged with the support of the Te Whare Tapa Wha model and evidenced and integrated into long-term care plans with input from cultural advisers within the local community as required.  Guidance on tikanga best practice is available and is supported by staff who identify as Māori in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verified that they were consulted on their individual culture, values and beliefs and that staff respected these. Resident’s personal preferences, required interventions and special needs were included in care plans reviewed.  Interviews with residents and families confirmed that the resident’s individual culture, values and beliefs are being meet.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the hospice/palliative care team, podiatrist, physiotherapist, audiology clinic, wound care specialist, the plastics and diabetes/renal departments at the local district health board, psychogeriatrician and mental health services for older persons. A general practitioner (GP), one of seven GP’s from five supporting medical centres,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day to day discussions with residents and knocking on doors to ensure privacy.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knew how to access interpreter services, although reported this was rarely required due to all residents able to speak English. If required, staff can provide interpretation as and when needed with the support of family members.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were identified as having a significant sensory impairment. Appropriate equipment, resources and allied support was evident in the residents’ long-term care plans, for example, talking books, being supported when out in the community, ensuring knowledge of someone’s presence by knocking on the resident’s door and introduction of one’s self.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2018-2020 is reviewed annually and includes a mission statement, business objectives, values, strengths, weaknesses opportunities and threats of the organisation. The governing board is made up of family members and meets formally four times a year. The chairperson meets with the general manager weekly. The general manager reported there is also frequent contact via phone at least three to four times a week to discuss all activities relating to the facility. The general manager attends the board meetings and presents reports relating to but not limited to quality data, financial performance, occupancy, staffing, training, complaints, audits and any risks.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has been in the position for 11 years. The GM is a registered nurse who does not have a current practising certificate and is supported by the board.  The GM keeps up to date attending various workshops, conferences and meetings. The clinical nurse leader(CNL) has been in the position for less than 12 months and has resigned from the position. The CNL is rostered full time on the floor as an RN and therefore there is no time available to carry out other responsibilities concerning the day to day clinical service.</w:t>
            </w:r>
          </w:p>
          <w:p w:rsidR="00EB7645" w:rsidRPr="00BE00C7" w:rsidP="00BE00C7">
            <w:pPr>
              <w:pStyle w:val="OutcomeDescription"/>
              <w:spacing w:before="120" w:after="120"/>
              <w:rPr>
                <w:rFonts w:cs="Arial"/>
                <w:b w:val="0"/>
                <w:lang w:eastAsia="en-NZ"/>
              </w:rPr>
            </w:pPr>
            <w:r w:rsidRPr="00BE00C7">
              <w:rPr>
                <w:rFonts w:cs="Arial"/>
                <w:b w:val="0"/>
                <w:lang w:eastAsia="en-NZ"/>
              </w:rPr>
              <w:t>Lifecare Cambridge is certified to provide accommodation for 57 residents with 49 beds occupied on the first day of audit. All beds have been approved as dual purpose. There were 18 hospital level residents, 30 rest home level residents including one resident who is funded by ACC and one resident receiving respite services.</w:t>
            </w:r>
          </w:p>
          <w:p w:rsidR="00EB7645" w:rsidRPr="00BE00C7" w:rsidP="00BE00C7">
            <w:pPr>
              <w:pStyle w:val="OutcomeDescription"/>
              <w:spacing w:before="120" w:after="120"/>
              <w:rPr>
                <w:rFonts w:cs="Arial"/>
                <w:b w:val="0"/>
                <w:lang w:eastAsia="en-NZ"/>
              </w:rPr>
            </w:pPr>
            <w:r w:rsidRPr="00BE00C7">
              <w:rPr>
                <w:rFonts w:cs="Arial"/>
                <w:b w:val="0"/>
                <w:lang w:eastAsia="en-NZ"/>
              </w:rPr>
              <w:t>Lifecare Cambridge has contracts with the DHB for aged related residential care services, long term chronic health conditions, and residential respite services.</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reported HealthCERT has been notified of the change of clinical nurse leader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appropriate systems in place to ensure the day-to-day operation of the service continues should the GM be absent.  The GM stated the CNL would fill the position during the general manager’s absence. Support would be provided from the administrator and the board.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quality assurance and risk management programme including a quality framework that documents 11 quality goals and objectives.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data is being collected, collated and comprehensively analysed to identify trends. Corrective actions are developed and implemented with monitoring to ensure corrective actions have been effective. Registered nurse, staff, health and safety and resident meeting minutes reviewed evidenced they are held regularly. The RN and general staff minutes record numbers only. Registered nurses confirmed they discuss clinical indicators at their meetings. The health care assistants (HCAs) stated that analysis of data and any trends are not reported back to them. Although the electronic programme can generate graphs as part of the reporting to staff, they are yet to be provided. The interRAI/quality RN demonstrated sound knowledge relating to quality and risk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satisfaction surveys are completed yearly. The 2018/2019 survey showed residents and families are satisfied or very satisfied with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fully embedded at Lifecare Cambridge. They are relevant to the scope and complexity of the service, reflected current accepted good practice, reference legislative requirements and refer to interRAI. Policies and procedures are reviewed by the company who provides the system and were current. New / reviewed policies are available for staff to read and they are required to sign off these once read. Staff interviewed confirmed this.  Staff also confirmed the policies and procedures provided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The risk register includes but is not limited to clinical, environment, staffing and financial risks. A risk matrix is used to rate the level of risk. The physiotherapy assistant is the health and safety representative and is responsible for the management of hazards, including putting in place appropriate controls to eliminate or minimise all hazards on site. Interview of the physiotherapy assistant confirmed this. Hazards are communicated to staff and residents as appropriate. The physiotherapy assistant demonstrated a sound understanding of health and safety requirements.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unplanned or untoward events are documented by the RNs and health care assistants (HCA) on hard copy forms and reviewed by the GM. Information is entered into the electronic system by the interRAI/quality RN. The GM is responsible for the development of any corrective actions and close out. Review of the electronic register, incident/accident reports and interview of staff indicated appropriate management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The electronic adverse events summary provides good analysis and trending and includes possible contributing factors identified. Where the incident occurred with monthly comparisons.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essential notification responsibilities. The GM stated there has been one Section 31 notified to HealthCERT for a pressure injury since the last surveillance audit that was acquired prior to admission. The GM reported there have been no other notifications made to external agencies apart from the change in CNL.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human resources management are based on relevant legislation and good employment practices. Staff files reviewed evidenced employment agreements, references, performance appraisals and criminal vetting. Review of staff files evidenced not all staff have position descriptions including position descriptions for restraint and infection control coordinators, not all staff have completed an orientation and RNs performance appraisals have not been reviewed and signed by a registered nurse with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is specific to the position description. The entire orientation process takes up to 10 days to complete and staff performance is reviewed at the end of this period.  Orientation for staff covers the essential components of the service provided. Staff reported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The GM advised staff who have not completed a New Zealand Qualification Authority education programme are encouraged to do so. There are HCAs who have started the programme and other who have attained different levels. There is an assessor for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is the responsibility of the GM. Documentation evidenced in-service education is provided at least monthly following the staff meetings and during handover. Attendance is entered into individual registers.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Competencies for medicine management are current for RNs, however, the competency for the CNL and another RN has been signed and dated by the GM who does not have a current practising certificate and does not have a medication competency. Restraint competencies were not evidenced. There was no evidence that the HCAs on the night shift have completed a competency for being a second checker of controlled drugs.   </w:t>
            </w:r>
          </w:p>
          <w:p w:rsidR="00EB7645" w:rsidRPr="00BE00C7" w:rsidP="00BE00C7">
            <w:pPr>
              <w:pStyle w:val="OutcomeDescription"/>
              <w:spacing w:before="120" w:after="120"/>
              <w:rPr>
                <w:rFonts w:cs="Arial"/>
                <w:b w:val="0"/>
                <w:lang w:eastAsia="en-NZ"/>
              </w:rPr>
            </w:pPr>
            <w:r w:rsidRPr="00BE00C7">
              <w:rPr>
                <w:rFonts w:cs="Arial"/>
                <w:b w:val="0"/>
                <w:lang w:eastAsia="en-NZ"/>
              </w:rPr>
              <w:t>Two RNs are currently interRAI trained and have current competencies, this will reduce to one RN once the CNL ceases employment. There is at least one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Annual practising certificates were current for staff and contractors who required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they have completed an orientation. Staff also confirmed their attendance at on-going in-service education and that their performance appraisal was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 to provide safe service delivery including acuity, skill mix of experienced staff and less experienced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 cover is provided 24 hours, seven days a week. The GM advised there is a casual pool of HCAs who can work at short notice. The GM reported the rosters are adjusted to meet the changing needs of residents, resident acuity including interRAI, occupancy and the environment. </w:t>
            </w:r>
          </w:p>
          <w:p w:rsidR="00EB7645" w:rsidRPr="00BE00C7" w:rsidP="00BE00C7">
            <w:pPr>
              <w:pStyle w:val="OutcomeDescription"/>
              <w:spacing w:before="120" w:after="120"/>
              <w:rPr>
                <w:rFonts w:cs="Arial"/>
                <w:b w:val="0"/>
                <w:lang w:eastAsia="en-NZ"/>
              </w:rPr>
            </w:pPr>
            <w:r w:rsidRPr="00BE00C7">
              <w:rPr>
                <w:rFonts w:cs="Arial"/>
                <w:b w:val="0"/>
                <w:lang w:eastAsia="en-NZ"/>
              </w:rPr>
              <w:t>The GM works full time Monday to Friday and is on call after hours. Nine RNs, including the CNL are currently employed. Apart from two new graduates, one of which worked as an HCA prior to graduating, the RNs are experienced and have worked in the facility for a number of years. There was a range of HCAs interviewed who have been working at the facility from 12 years to several months. Review of the roster evidenced two RNs on the morning shift, one of which is the CNL, two RNs on the afternoon shift and one on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families and staff interviewed reported satisfaction with the staffing levels. </w:t>
            </w:r>
          </w:p>
          <w:p w:rsidR="00EB7645" w:rsidRPr="00BE00C7" w:rsidP="00BE00C7">
            <w:pPr>
              <w:pStyle w:val="OutcomeDescription"/>
              <w:spacing w:before="120" w:after="120"/>
              <w:rPr>
                <w:rFonts w:cs="Arial"/>
                <w:b w:val="0"/>
                <w:lang w:eastAsia="en-NZ"/>
              </w:rPr>
            </w:pPr>
            <w:r w:rsidRPr="00BE00C7">
              <w:rPr>
                <w:rFonts w:cs="Arial"/>
                <w:b w:val="0"/>
                <w:lang w:eastAsia="en-NZ"/>
              </w:rPr>
              <w:t>There are dedicated cleaning and laundry staff.  An activities coordinator is employed Monday to Friday. A maintenance person and administrator work five days per week. The kitchen has a chef working during the week with a cook on at the weekends and kitchen hands.</w:t>
            </w:r>
          </w:p>
          <w:p w:rsidR="00EB7645" w:rsidRPr="00BE00C7" w:rsidP="00BE00C7">
            <w:pPr>
              <w:pStyle w:val="OutcomeDescription"/>
              <w:spacing w:before="120" w:after="120"/>
              <w:rPr>
                <w:rFonts w:cs="Arial"/>
                <w:b w:val="0"/>
                <w:lang w:eastAsia="en-NZ"/>
              </w:rPr>
            </w:pPr>
            <w:r w:rsidRPr="00BE00C7">
              <w:rPr>
                <w:rFonts w:cs="Arial"/>
                <w:b w:val="0"/>
                <w:lang w:eastAsia="en-NZ"/>
              </w:rPr>
              <w:t>Observations during this audit confirmed adequate staff cover is provided, including residents being helped with meals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Not all documentation was supported with a unique identifier and white out was identified on a number of organisational/management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two individual residents being recently transferred to the local acute care facility and showed good communication and documentation provided between staff at the facility, GP, family, acute hospital setting.  Families of the two residents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have completed a medication competency and are competent to perform the function they manage but the competencies have not been signed by another medication competent registered nurse (refer to 1.2.7.5).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controlled drug register provided evidence of weekly and six-monthly stock checks and accurate entries. Controlled drugs are stored securely in accordance with requirements and checked by two staff for accuracy when administering; however, night duty ‘second checkers’ for controlled drugs are not medication competent (refer to 1.2.7.5).  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included the prescriber’s signature and date recorded on the commencement and discontinuation of medicines and all requirements for pro re nata (PRN) medicines met. The required three-monthly GP review was consistently recorded on the medicine chart.  Standing orders are used, were current and complied with guidelines.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who self-administered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chef, one other cook and kitchen team and is in line with recognised nutritional guidelines for older people.  The menu follows summer and winter patterns and has been reviewed by a qualified dietitian within the last two years.  The menu was given a rating of 45 out of 50 (excellent rating).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Waipa District Council which expires 8 February 2020.  The facility had a Verification Audit on the 3 April 2019 with the overall outcome being acceptable and next due 2 November 2020.  Food temperatures, including for high risk items, are monitored appropriately and recorded as part of the plan. The Chef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a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except for two recent admissions to the facility who are awaiting transfer of their files.  The interRAI assessments are completed by one of two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was ‘excellent’.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 supports residents Monday to Friday 8.30 am to 4.30 pm.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The activities co-ordinator visits each resident in the mornings to remind them of the activities for that day and to support one to one time for those residents that choose to stay in their rooms. Residents from both the rest home and hospital wing often join together to partake in activities that interest them.   Residents and families/whānau are involved in evaluating and improving the programme through residents’ meetings and day to day discussions. Residents interviewed confirmed they find the programme lots of fun and look forward to the bingo and regular entertainment.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infections and wounds. When necessary, and for unresolved problems, long term care plans are added to an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at the facility are supported by one of seven GP’s that visit from the five local medical centres.  If the need for other non-urgent services are indicated or requested, the GP or RN sends a referral to seek specialist input.  Copies of referrals were sighted in residents’ files, including to the diabetes clinic and mental health services for older persons.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and appropriate waste management procedures including hazardous substances are in place and incidents are reported in a timely manner.  Policies and procedures specify labelling requirements in line with legislation, including the requirement for labels to be clear, accessible to read and free from damage.  Material safety data sheets are available and accessible for staff. Staff receive training to ensure safe and appropriate handling of waste and hazardous substances.  Health care assistants and the cleaner demonstrated good knowledge concerning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including gloves, face visors and disposable aprons were observed appropriate to recognised risks.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displayed that expires on the 17 June 2020. The facility is adequately maintained both internally and externally. A preventive and a reactive maintenance programme is implemented and hot water temperatures are within the recommended range. The maintenance person reported rooms are refurbished as needed. Testing and tagging of electrical equipment and calibration of biomedical equipment was current. A hazard and maintenance book are situated at eye level as staff leave the staff room and the health and safety representative stated this initiative reminds staff to make entries into the book. Review of the book evidence actions and sign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areas throughout the facility for residents to frequent. Ramps with handrails provide easy access for residents, externally. Residents were observed to easily manage with mobility aids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well maintained with areas for residents to sit and there is shade.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mix of bedrooms with wash hand basin or full ensuite. Adequate number of showers and toilets are located throughout the facility. Engaged/vacant signage is in place for privacy.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reported that there were sufficient toilets and showers and that they are easy to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reported all rooms have been approved for hospital or rest home level care use (dual purpose). Bedrooms are large enough to provide personal space for residents and allow staff and equipment to move around safely. There are two bedrooms that accommodate three residents and three rooms that accommodate two residents. Curtains are appropriately installed that allow for complete privacy for all residents residing in the shared bedrooms. Residents confirmed they have requested to be in these rooms because they enjoy the company. </w:t>
            </w:r>
          </w:p>
          <w:p w:rsidR="00EB7645" w:rsidRPr="00BE00C7" w:rsidP="00BE00C7">
            <w:pPr>
              <w:pStyle w:val="OutcomeDescription"/>
              <w:spacing w:before="120" w:after="120"/>
              <w:rPr>
                <w:rFonts w:cs="Arial"/>
                <w:b w:val="0"/>
                <w:lang w:eastAsia="en-NZ"/>
              </w:rPr>
            </w:pPr>
            <w:r w:rsidRPr="00BE00C7">
              <w:rPr>
                <w:rFonts w:cs="Arial"/>
                <w:b w:val="0"/>
                <w:lang w:eastAsia="en-NZ"/>
              </w:rPr>
              <w:t>Rooms are appropriately furnished and maintained. Residents interviewed spoke positively about their accommodation. There is room to store mobility aids.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have areas within the facility to frequent, including dining and lounge areas that are easily accessed by residents. Residents can access areas for privacy if required. Furniture is appropriate to the setting and arranged in a manner which enables residents to mobilise freely. Residents and families interviewed reported there are adequate areas for them to access and enjoy.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wash and dry all laundry on site using commercial equipment and cleaning of the facility is completed by dedicated cleaners. Both laundry and cleaning staff demonstrated sound knowledge of processes. Cleaning and laundry processes are audited for effectiveness as per the audit programme. Review of audits confirmed this. Chemicals are stored securely and were in appropriately labelled containers. The company representative visits monthly. Cleaning equipment and linen bags are colour coded for different uses.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evacuation scheme was approved by the New Zealand Fire Service in 1919.  Documentation reviewed evidenced fire drills are completed six-monthly. There have been no structural alterations since the previous audit. The emergency plan details emergency preparedness. Staff confirmed their awareness of emergency procedures. The orientation programme includes fire and security training. All required fire equipment has been checked and is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cell phones and a gas BBQ. An underground water storage tank holds 2000 litres. The requirements meet the Ministry of Defence and Emergency Management recommendations for the region. Emergency lighting is provided. A call bell system alerts staff to residents who require assistance.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also complete security checks and there are sensor lights situated around the exterior of the building.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Heating is provided via heat pumps in communal areas and individual heaters in all the bedrooms. Residents are provided with safe ventilation and an environment that is maintained at a safe and comfortable temperature.  All residents’ rooms have natural light. The facility is smoke free within the building and there are external areas for smokers. Residents and families confirmed the facility is maintained at a comfortable temperature. During the audit, the temperature was appropriate in all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with input from the GP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leader/registered nurse is the designated IPC coordinator but does not hold a job description related to the infection prevention and control role (refer to 1.2.7.3). Infection control matters, including surveillance results, are reported monthly to the general manager and tabled at the quality/risk committee meeting.  This committee includes the general manager, clinical nurse leader,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and two other doors that visitors/families access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and has been in this role for one year.  She has attended study days, as verified in training records sighted.  Additional support and information is accessed from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August 2018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and signs were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gastroenteritis and other infections.  The IPC coordinator/clinical nurse leader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Trends are identified from the past year.   Results of the surveillance programme are shared with staff via regular registered staff meetings and at staff handovers, but this information is not reported back to all staff (refer to 1.2.3.6).  Twenty-three (23) residents consented to the flu vaccine in April 2019.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57 infections from January 2019 through to and including June 2019.  Residents’` files reviewed highlighted short term and long-term care planning to reduce and minimise the risk of infection.   Care staff interviewed demonstrated knowledge of residents who have a higher risk of infections and the interventions required.  Data is not benchmarked.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and enabler policy includes definitions, assessments and evaluation and complies with the requirements of the standard. The restraint coordinator, who is the CNL, reported the aim is not to use any sort of restraint. Equipment is used so that restraint is not required. There was one resident using a restraint and five residents using an enabler. The files of the residents using a restraint and an enabler were reviewed and evidenced all required documentation was completed.</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sound knowledge of the difference between a restraint and an enabler and the process should a resident request an enabler. Staff have received on-going education relating to challenging behaviours, enablers and restraint. Competencies for restraint minimisation and safe practice were not available at the time of audit. (Refer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approved by the restraint approval group prior to commencing the restraint, this includes the resident’s GP. An authorisation/consent form was sighted on the resident’s file for the one person using restraint. Three-monthly reviews of restraints in use occurs. The restraint coordinator does not have a job description for the restraint coordinator on file (refer 1.2.7.3). Responsibilities of the restraint coordinator and approval group are clearly outlined.</w:t>
            </w:r>
          </w:p>
          <w:p w:rsidR="00EB7645" w:rsidRPr="00BE00C7" w:rsidP="00BE00C7">
            <w:pPr>
              <w:pStyle w:val="OutcomeDescription"/>
              <w:spacing w:before="120" w:after="120"/>
              <w:rPr>
                <w:rFonts w:cs="Arial"/>
                <w:b w:val="0"/>
                <w:lang w:eastAsia="en-NZ"/>
              </w:rPr>
            </w:pPr>
            <w:r w:rsidRPr="00BE00C7">
              <w:rPr>
                <w:rFonts w:cs="Arial"/>
                <w:b w:val="0"/>
                <w:lang w:eastAsia="en-NZ"/>
              </w:rPr>
              <w:t>Restraint use is discussed in the quality and staff meetings. Staff confirmed their knowledge of the restraint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file of the resident using restraint was reviewed. A restraint assessment form was completed prior to commencing restraint. Risk factors were identified in the assessment and the purpose of the chosen restraint was documented.  The long-term care plan documented any risk and desired outcomes. Staff demonstrated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accessible for all staff to read. Safe use of restraint is actively promoted. There is a current and updated restraint/enabler register. Care plans included any risk factors and ensured the resident’s safety while using restraint.  Staff demonstrated knowledge about restraints and strategies to promote resident safety while using restraint. There were no restraint-related injuries reported. Monitoring forms are in place for all residents who are using restraint and enablers and these were completed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using restraints and enablers are evaluated at least six-monthly and the resident’s care plan six monthly. Consents and evaluation forms were signed and dated. The evaluation form includes (a) to (k) of the standard and the effectiveness of the restraint and the risk is documented in the long-term care plans. Staff confirmed their feedback was obtained by the restraint coordinator when evaluating the restraint in use. The restraint approval group evaluated the restraints in use at least annually.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is responsible for monitoring and reviewing restraint. Quality review of restraint is monitored through the internal audit programme. Identified issues are discussed at the staff meetings as well as additional education that is required to support staff. This includes education relating to restraint and challenging behaviour. Staff demonstrated good knowledge relating to managing challenging behaviours. The resident using restraint was a recent approval.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6457"/>
        <w:gridCol w:w="2704"/>
        <w:gridCol w:w="14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1.2.1.3</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managed by a suitably qualified and/or experienced person with authority, accountability, and responsibility for the provision of services.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is a registered nurse who has not held a practising certificate for 12 years and has been in the position for 11 years. The GM’s file evidenced attendance at various workshops, conferences and meetings including forums held at the DHB. The clinical nurse leader (CNL) has been in the position for less than 12 months and it is unclear following interviews with the GM and CNL what the lines of responsibility are concerning operational and clinical matters. The CNL is rostered on the floor as an RN full time, therefore there is no time available to carry out other responsibilities concerning the day to day clinical service as per the job description for clinical coordinator, sighted on the CNL’s file. The CNL has resigned from the position. This current situation does not meet the ARRC Contract D17.4.ba.</w:t>
            </w:r>
          </w:p>
          <w:p w:rsidR="00EB7645" w:rsidRPr="00BE00C7" w:rsidP="00BE00C7">
            <w:pPr>
              <w:pStyle w:val="OutcomeDescription"/>
              <w:spacing w:before="120" w:after="120"/>
              <w:rPr>
                <w:rFonts w:cs="Arial"/>
                <w:b w:val="0"/>
                <w:lang w:eastAsia="en-NZ"/>
              </w:rPr>
            </w:pPr>
            <w:r w:rsidRPr="00BE00C7">
              <w:rPr>
                <w:rFonts w:cs="Arial"/>
                <w:b w:val="0"/>
                <w:lang w:eastAsia="en-NZ"/>
              </w:rPr>
              <w:t>The GM stated during the audit that the position will be advertised along with a new RN position.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general manager who is an RN does not hold a current practising certificate and the clinical nurse leader is not able to undertake responsibilities concerning the clinical service because the CNL is rostered on full time as an RN working on the floor.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D17.4ba of the ARRC Contract between Lifecare Cambridge and the DHB, relating to the employment of a clinical manager is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including incident/accidents, satisfaction surveys, internal audits and infections is being collected, collated and comprehensively analysed to identify trends. The RN and general staff minutes record numbers only, including skin tears, falls, and infections.  Registered nurses confirmed they discuss clinical indicators at their meetings and any trends. The health care assistants (HCA) stated that analysis of data and any trends identified is not reported back to them at their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Reporting of quality data, apart from numbers, was not evidenced in the RN and general staff meeting minutes. Although the RNs interviewed stated they do discuss any trends, the HCAs stated they are not provided with results including any trends.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quality data including clinical indicators and trends are reported to all clinical staff and recorded in the meeting minutes.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Employment agreements, references, performance appraisals and criminal vetting were evidenced on staff files. Although the restraint and infection control coordinators understood their roles, four of eight files reviewed including the restraint and infection control coordinators files did not evidence specific position descriptions to the roles.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staff files reviewed evidenced position descriptions, including position descriptions for the restraint and infection control coordinators.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staff have position descriptions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orientation programme has specific components depending on the position description. The entire orientation process, including completion of competencies, takes up to 10 days to complete and staff performance is reviewed at the end of this period.  Orientation for staff covers the essential components of the service provided. Although staff interviewed stated they had completed an orientation, four of the eight staff files reviewed did not have evidence of an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staff files have evidence of a completed orientation.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all staff have completed an orientation.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training programme that covers all essential subjects. The GM is responsible for the programme. Training is provided at least monthly following the staff meetings and during handover. Each staff member has an individual attendance register. External educators take some sessions and staff have the opportunity to attend sessions externally and are expected to share the information with the rest of the staff.  Registered nurses have the opportunity to attend sessions provided by the local DHB.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complete a New Zealand Qualification Authority education programme. The GM reported there is a mix of staff who have started the programme and others who have completed different levels.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Competencies for medicine management are current for RNs, however, the competency for the CNL and another RN had been signed and dated by the GM who does not have a current practising certificate and is not medication competent. The GM stated that the RNs assess their colleagues and then the GM signs and dates the competency. Although the CNL reported clinical staff have current restraint competencies, the competency assessments were not evidenced. There was no evidence that the HCAs on the night shift have completed a competency for acting as the second checker of controlled drugs. Two RN performance appraisals have been reviewed by the GM who does not hold a current practising certificate.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(i)Medication competencies for the CNL and one RN have been signed and dated by the general manager who does not have a current practising certificate and does not have a medication competency.</w:t>
            </w:r>
          </w:p>
          <w:p w:rsidR="00EB7645" w:rsidRPr="00BE00C7" w:rsidP="00BE00C7">
            <w:pPr>
              <w:pStyle w:val="OutcomeDescription"/>
              <w:spacing w:before="120" w:after="120"/>
              <w:rPr>
                <w:rFonts w:cs="Arial"/>
                <w:b w:val="0"/>
                <w:lang w:eastAsia="en-NZ"/>
              </w:rPr>
            </w:pPr>
            <w:r w:rsidRPr="00BE00C7">
              <w:rPr>
                <w:rFonts w:cs="Arial"/>
                <w:b w:val="0"/>
                <w:lang w:eastAsia="en-NZ"/>
              </w:rPr>
              <w:t>(ii)Restraint competencies were not available for review.</w:t>
            </w:r>
          </w:p>
          <w:p w:rsidR="00EB7645" w:rsidRPr="00BE00C7" w:rsidP="00BE00C7">
            <w:pPr>
              <w:pStyle w:val="OutcomeDescription"/>
              <w:spacing w:before="120" w:after="120"/>
              <w:rPr>
                <w:rFonts w:cs="Arial"/>
                <w:b w:val="0"/>
                <w:lang w:eastAsia="en-NZ"/>
              </w:rPr>
            </w:pPr>
            <w:r w:rsidRPr="00BE00C7">
              <w:rPr>
                <w:rFonts w:cs="Arial"/>
                <w:b w:val="0"/>
                <w:lang w:eastAsia="en-NZ"/>
              </w:rPr>
              <w:t>(iii)Performance appraisals for RNs have been reviewed and signed by the general manager who does not hold a current practising certificate.</w:t>
            </w:r>
          </w:p>
          <w:p w:rsidR="00EB7645" w:rsidRPr="00BE00C7" w:rsidP="00BE00C7">
            <w:pPr>
              <w:pStyle w:val="OutcomeDescription"/>
              <w:spacing w:before="120" w:after="120"/>
              <w:rPr>
                <w:rFonts w:cs="Arial"/>
                <w:b w:val="0"/>
                <w:lang w:eastAsia="en-NZ"/>
              </w:rPr>
            </w:pPr>
            <w:r w:rsidRPr="00BE00C7">
              <w:rPr>
                <w:rFonts w:cs="Arial"/>
                <w:b w:val="0"/>
                <w:lang w:eastAsia="en-NZ"/>
              </w:rPr>
              <w:t>(iv)Health care assistants are checking controlled drugs on the night shift without a competed second checker competency.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medication competencies for the CNL and all RNs are undertaken including sign off, by an appropriate person with a current practising certificate who has a current competency.</w:t>
            </w:r>
          </w:p>
          <w:p w:rsidR="00EB7645" w:rsidRPr="00BE00C7" w:rsidP="00BE00C7">
            <w:pPr>
              <w:pStyle w:val="OutcomeDescription"/>
              <w:spacing w:before="120" w:after="120"/>
              <w:rPr>
                <w:rFonts w:cs="Arial"/>
                <w:b w:val="0"/>
                <w:lang w:eastAsia="en-NZ"/>
              </w:rPr>
            </w:pPr>
            <w:r w:rsidRPr="00BE00C7">
              <w:rPr>
                <w:rFonts w:cs="Arial"/>
                <w:b w:val="0"/>
                <w:lang w:eastAsia="en-NZ"/>
              </w:rPr>
              <w:t>(ii)Provide evidence that restraint competencies have been completed and are current.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(iii)Ensure performance appraisals for RNs are reviewed and signed by appropriate person with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(iv)Provide evidence that health care assistants rostered on the night shift have current second checker competencies for controlled drugs.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w:t>
            </w:r>
          </w:p>
          <w:p w:rsidR="00EB7645" w:rsidRPr="00BE00C7" w:rsidP="00BE00C7">
            <w:pPr>
              <w:pStyle w:val="OutcomeDescription"/>
              <w:spacing w:before="120" w:after="120"/>
              <w:rPr>
                <w:rFonts w:cs="Arial"/>
                <w:b w:val="0"/>
                <w:lang w:eastAsia="en-NZ"/>
              </w:rPr>
            </w:pPr>
            <w:r w:rsidRPr="00BE00C7">
              <w:rPr>
                <w:rFonts w:cs="Arial"/>
                <w:b w:val="0"/>
                <w:lang w:eastAsia="en-NZ"/>
              </w:rPr>
              <w:t>Information is entered into the consumer information management system in an accurate and timely manner, appropriate to the service type and setting.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the day of admission, full and preferred name, next of kin, date of birth, gender, ethnicity/religion, NHI, the name of the GP, authorised power of attorney, allergies, next of kin and phone numbers were all completed in each resident’s initial admission record reviewed.  The nine files viewed did not all have unique identifiers evidenced on all individual progress notes, short term care plans, multidisciplinary meetings, assessment and photos of residents’ wounds identifying who the resident was.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sample of residents’ documents and resident files reviewed did not all contain unique resident identifiers on progress notes, short term care plans, multidisciplinary meetings, assessment and photos of residents’ wounds.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individual documents related to residents have uniquely identifying information to identify who the resident 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and staff documents were written and/or typed legibly.  Evidence of white out to erase mistakes was evident on staff appraisals and interRAI request user access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White out is being used in a number of organisational/management documents.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white out is not used to erase wording on a legal document.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Lifecare Cambridge Limited - Lifecare Cambridge</w:t>
    </w:r>
    <w:bookmarkEnd w:id="58"/>
    <w:r>
      <w:rPr>
        <w:rFonts w:cs="Arial"/>
        <w:sz w:val="16"/>
        <w:szCs w:val="20"/>
      </w:rPr>
      <w:tab/>
      <w:t xml:space="preserve">Date of Audit: </w:t>
    </w:r>
    <w:bookmarkStart w:id="59" w:name="AuditStartDate1"/>
    <w:r>
      <w:rPr>
        <w:rFonts w:cs="Arial"/>
        <w:sz w:val="16"/>
        <w:szCs w:val="20"/>
      </w:rPr>
      <w:t>2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