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Samuel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Anne Maree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June 2019</w:t>
      </w:r>
      <w:bookmarkEnd w:id="7"/>
      <w:r w:rsidRPr="009418D4">
        <w:rPr>
          <w:rFonts w:cs="Arial"/>
        </w:rPr>
        <w:tab/>
        <w:t xml:space="preserve">End date: </w:t>
      </w:r>
      <w:bookmarkStart w:id="8" w:name="AuditEndDate"/>
      <w:r w:rsidR="00A4268A">
        <w:rPr>
          <w:rFonts w:cs="Arial"/>
        </w:rPr>
        <w:t>18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Anne Maree Gardens is managed by a facility manager who reports directly to the general manager. Other members of the management team are the clinical leader who is a registered nurse, and a full-time administrator. The service is one of two facilities privately owned by the same owner/director. The service has a total of 76 beds for rest home and hospital level care residents including younger persons and for psychogeriatric care.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and the Ministry of Health. The audit process included review of policies and procedures, review of residents’ and staff files, observations and interviews with residents, family members, managers, staff, a contracted allied health physiotherapist, the visiting psychiatrist, a member of the district health board’s mental health services for older people team, the owner/director and a general practitioner.  </w:t>
      </w:r>
    </w:p>
    <w:p w:rsidRPr="00A4268A">
      <w:pPr>
        <w:spacing w:before="240" w:line="276" w:lineRule="auto"/>
        <w:rPr>
          <w:rFonts w:eastAsia="Calibri"/>
        </w:rPr>
      </w:pPr>
      <w:r w:rsidRPr="00A4268A">
        <w:rPr>
          <w:rFonts w:eastAsia="Calibri"/>
        </w:rPr>
        <w:t xml:space="preserve">This audit has resulted in two continuous improvement ratings, one in activities and one related to complaints management. One area for improvement relates to registered nurse staffing in the nine bed psychogeriatric unit. </w:t>
      </w:r>
    </w:p>
    <w:p w:rsidRPr="00A4268A">
      <w:pPr>
        <w:spacing w:before="240" w:line="276" w:lineRule="auto"/>
        <w:rPr>
          <w:rFonts w:eastAsia="Calibri"/>
        </w:rPr>
      </w:pPr>
      <w:r w:rsidRPr="00A4268A">
        <w:rPr>
          <w:rFonts w:eastAsia="Calibri"/>
        </w:rPr>
        <w:t xml:space="preserve">There were no areas requiring improvement to be followed up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a family member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 Complaints information is shared with residents and staff throughout the service and used to improve services as appropriate.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owner/director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all residents on admission. Initial care plans guide service delivery during the first three weeks after admission. The interRAI assessment process is used to identify resident’s needs and these are completed within the required timeframes.</w:t>
      </w:r>
    </w:p>
    <w:p w:rsidRPr="00A4268A" w:rsidP="00621629">
      <w:pPr>
        <w:spacing w:before="240" w:line="276" w:lineRule="auto"/>
        <w:rPr>
          <w:rFonts w:eastAsia="Calibri"/>
        </w:rPr>
      </w:pPr>
      <w:r w:rsidRPr="00A4268A">
        <w:rPr>
          <w:rFonts w:eastAsia="Calibri"/>
        </w:rPr>
        <w:t>Care plans are individualised and based on an integrated range of clinical information. Short-term care plans are in place to manage any issues or problems. Residents’ records reviewed demonstrated their needs, goals and outcomes are identified and reviewed at regular intervals. Interviews confirmed residents and families are informed and involved in care planning and evaluation of care. Handovers between shifts guide continuity of care and service provision.</w:t>
      </w:r>
    </w:p>
    <w:p w:rsidRPr="00A4268A" w:rsidP="00621629">
      <w:pPr>
        <w:spacing w:before="240" w:line="276" w:lineRule="auto"/>
        <w:rPr>
          <w:rFonts w:eastAsia="Calibri"/>
        </w:rPr>
      </w:pPr>
      <w:r w:rsidRPr="00A4268A">
        <w:rPr>
          <w:rFonts w:eastAsia="Calibri"/>
        </w:rPr>
        <w:t xml:space="preserve">The activities programme is implemented to cover all residents in each area of service. The individual activities plans are reviewed six monthly by the diversional therapists. The programme provides residents with a variety of individual and group activities. The service uses its facility van for outings in the community. </w:t>
      </w:r>
    </w:p>
    <w:p w:rsidRPr="00A4268A" w:rsidP="00621629">
      <w:pPr>
        <w:spacing w:before="240" w:line="276" w:lineRule="auto"/>
        <w:rPr>
          <w:rFonts w:eastAsia="Calibri"/>
        </w:rPr>
      </w:pPr>
      <w:r w:rsidRPr="00A4268A">
        <w:rPr>
          <w:rFonts w:eastAsia="Calibri"/>
        </w:rPr>
        <w:t xml:space="preserve">Medicine management is implemented according to policies and procedures in alignment with legislative requirements. An electronic medication system is used and records were reviewed. Medicines management competencies for staff who administer medicines were current. The clinical leader has prescribing rights under the general practitioner’s mentorship and instructions. </w:t>
      </w:r>
    </w:p>
    <w:p w:rsidRPr="00A4268A" w:rsidP="00621629">
      <w:pPr>
        <w:spacing w:before="240" w:line="276" w:lineRule="auto"/>
        <w:rPr>
          <w:rFonts w:eastAsia="Calibri"/>
        </w:rPr>
      </w:pPr>
      <w:r w:rsidRPr="00A4268A">
        <w:rPr>
          <w:rFonts w:eastAsia="Calibri"/>
        </w:rPr>
        <w:t xml:space="preserve">The food service meets the nutritional and other specific needs of the residents. Kitchen staff have completed relevant food safety training. The kitchen was clean and meets food safety standards and has a current food control plan. Residents and family confirmed satisfaction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were in use at the time of audit. Use of enablers is voluntary for the safety of residents in response to individual requests. Two restraints were in use.  A comprehensive assessment, approval and monitoring process with regular reviews occurs.  Staff demonstrated a sound knowledge and understanding of the restraint and enabler processes. The environmental restraint, owing to the exterior gates being on a key-pad lock, is identified and managed as per policy.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surveillance is undertaken, analysed and trended. Surveillance records showed evidence of follow-up of infection when required. The infection surveillance programme is reviewed annually. Staff interviewed demonstrated current knowledge and practice in relation to the implementation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51 complaints, concerns or issues have been received in 2019 and that actions taken, through to an agreed resolution, are documented and completed within the timeframes.  Action plans showed all required follow up and improvements have been made where possible. The facility manager, clinical leader and administrator are responsible for complaints management and follow up. This is undertaken using a quality process to ensure all residents, family and staff are kept informed of outcomes. The follow up process is very clearly documented in detail to show who undertook the required actions, the improvements made to resolve the issue and evaluation that actions put in place have gained a positive outcome prior to the closing off of any issue. All staff, residents and family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are kept well informed about any changes to their/relative’s status and were advised in a timely manner about any incidents or accidents and outcomes of regular or urgent medical reviews. This was supported in residents’ records reviewed. Staff understood the principles of open disclosure which is supported by policies and procedures that meet requirement of the Code. There is a communication book in the main staff office for recording up and coming outpatient appointments for residents. Staff reported at interview that verbal handovers are provided between shifts and this was observed in the afternoon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as staff and family/whanau are available to translate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quarterly reports to the owner/director showed adequate information to monitor performance is reported including health and safety, occupancy, staff appraisals, interRAI assessments, quality data results, laundry services, marketing, policy development, emerging risks and issues. The actions taken to achieve each set goal are also measured in the report. The facility manager also reports verbally, on a weekly basis, to the general manager, who works across both facilities owned by the same owner/director. The general manager is on call at all times should the facility manager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day to day service is managed by a facility manager who holds relevant qualifications and has been in the role for nine years. The facility manager is supported by a clinical leader who is a registered nurse who has worked at the facility since 2009 and been in the current position since 2014, and a full time administrator who has worked at the facility for over 10 years. Responsibilities and accountabilities are defined in a job description and individual employment agreement.  The members of the management team confirmed their knowledge of the sector, regulatory and reporting requirements and maintains currency through appropriate ongoing education related to their role. For example, the clinical leader has completed post-graduate education and holds a Masters of Nursing degree and has nurse prescribing rights in aged care. The facility manager holds a diploma in business management and attends age care management seminars and training days. The facility manager also organises and chairs regular meeting of age care service managers from West Auckland where quality issues are discussed and education is provided. The administrator attends ongoing education including on-site and e-learning education covering a wide variety of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Auckland District Health Board (ADHB) and the Ministry of Health (MoH) for under 65 year olds, respite, medical conditions, rest home level care, psychogeriatric care, chronic health conditions and individualised residential care for residents who have mental health input.  </w:t>
            </w:r>
          </w:p>
          <w:p w:rsidR="00EB7645" w:rsidRPr="00BE00C7" w:rsidP="00BE00C7">
            <w:pPr>
              <w:pStyle w:val="OutcomeDescription"/>
              <w:spacing w:before="120" w:after="120"/>
              <w:rPr>
                <w:rFonts w:cs="Arial"/>
                <w:b w:val="0"/>
                <w:lang w:eastAsia="en-NZ"/>
              </w:rPr>
            </w:pPr>
            <w:r w:rsidRPr="00BE00C7">
              <w:rPr>
                <w:rFonts w:cs="Arial"/>
                <w:b w:val="0"/>
                <w:lang w:eastAsia="en-NZ"/>
              </w:rPr>
              <w:t>Contracts held are:</w:t>
            </w:r>
          </w:p>
          <w:p w:rsidR="00EB7645" w:rsidRPr="00BE00C7" w:rsidP="00BE00C7">
            <w:pPr>
              <w:pStyle w:val="OutcomeDescription"/>
              <w:spacing w:before="120" w:after="120"/>
              <w:rPr>
                <w:rFonts w:cs="Arial"/>
                <w:b w:val="0"/>
                <w:lang w:eastAsia="en-NZ"/>
              </w:rPr>
            </w:pPr>
            <w:r w:rsidRPr="00BE00C7">
              <w:rPr>
                <w:rFonts w:cs="Arial"/>
                <w:b w:val="0"/>
                <w:lang w:eastAsia="en-NZ"/>
              </w:rPr>
              <w:t>Long Term Services for Chronic Health Conditions (ADHB) - two residents were receiving services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Individual Client Residential Care over 65 years (ADHB) – one resident was receiving services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Residential Support under 65 years (ADHB) – two residents were receiving services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Aged Residential Hospital Specialist Services (psychogeriatric only) (ADHB) – six residents were receiving services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Long Term Support Chronic Health Conditions Specialised Psychogeriatric (ADHB) – two residents were receiving services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Residential Non-Aged (MOH) - two residents were receiving services under this contract. </w:t>
            </w:r>
          </w:p>
          <w:p w:rsidR="00EB7645" w:rsidRPr="00BE00C7" w:rsidP="00BE00C7">
            <w:pPr>
              <w:pStyle w:val="OutcomeDescription"/>
              <w:spacing w:before="120" w:after="120"/>
              <w:rPr>
                <w:rFonts w:cs="Arial"/>
                <w:b w:val="0"/>
                <w:lang w:eastAsia="en-NZ"/>
              </w:rPr>
            </w:pPr>
            <w:r w:rsidRPr="00BE00C7">
              <w:rPr>
                <w:rFonts w:cs="Arial"/>
                <w:b w:val="0"/>
                <w:lang w:eastAsia="en-NZ"/>
              </w:rPr>
              <w:t>Age Related Residential Care (ADHB) – 58 residents were receiving services under this contract being 25 rest home level care and 32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resident and family satisfaction surveys undertaken for various topics throughout the year, such as food surveys (May 2019), activities (May 2019), resident and family satisfaction survey (June 2019), monitoring of outcomes, clinical incidents including infections and wounds, skin tears, bruising, behaviour,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integrated monthly meetings, staff meetings and quarterly meetings with the owner/director. Statistics are discussed weekly with the general manager. Staff reported their involvement in quality and risk management activities through audit activities and implementation of corrective actions. Relevant corrective actions are developed and implemented to address any shortfalls. The results from satisfaction surveys showed that all required actions have been documented and addressed by the service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management team described the processes for the identification, monitoring, review and reporting of risks and development of mitigation strategies. The facility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electronic accident/incident form. A sample of incidents forms reviewed showed these were completed, incidents were investigated, action plans developed and actions followed-up in a timely manner by the clinical leader.  Adverse event data is collated, analysed and reported to the management team, owner/director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leader described essential notification reporting requirements, including for pressure injuries.  They advised there have been no notifications of significant events made to the Ministry of Health, or district health board since the previous audit. There have been no police investigations, coroner’s inquests, issues based audits and any other notifications, such as to public health services,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one year and then annually. A verbal review of staff performance is undertaken after three months of employment, or sooner if there are any concerns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Three staff members are approved internal assessor for the programme.  Staff working in the psychogeriatric area all hold required education to meet contractual requirements. There are three trained and competent registered nurses who are maintaining their annual competency requirements to undertake interRAI assessments. Records reviewed demonstrated completion of the required training and completion of annual performance appraisals related to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During interview, staff stated that sometimes there were more rostered staff than required. Residents and family interviewed supported this. Staffing levels meet the interRAI acuity level report findings.  Observations and review of four weeks rosters confirmed adequate staff cover has been provided, with staff replaced in any unplanned absence.  All staff hold current first aid certificates. There is 24 hour/seven days a week RN coverage in the facility. One registered nurse is nominated to oversee the nine bed psychogeriatric unit between the hours of 7am to 11pm. The nurse does not always remain in the unit. However, there is only one registered nurse from the hours of 11pm to 7am to cover the whole facility. </w:t>
            </w:r>
          </w:p>
          <w:p w:rsidR="00EB7645" w:rsidRPr="00BE00C7" w:rsidP="00BE00C7">
            <w:pPr>
              <w:pStyle w:val="OutcomeDescription"/>
              <w:spacing w:before="120" w:after="120"/>
              <w:rPr>
                <w:rFonts w:cs="Arial"/>
                <w:b w:val="0"/>
                <w:lang w:eastAsia="en-NZ"/>
              </w:rPr>
            </w:pPr>
            <w:r w:rsidRPr="00BE00C7">
              <w:rPr>
                <w:rFonts w:cs="Arial"/>
                <w:b w:val="0"/>
                <w:lang w:eastAsia="en-NZ"/>
              </w:rPr>
              <w:t>Activity staff cover seven days a week. Dedicated kitchen staff and cooks work seven days a week to cover all meal-times. Laundry is sent off site but there is a dedicated laundry staff member who ensures laundry is put away when returned who works seven days a week for 7.5 hours per day. Dedicated cleaning staff work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implemented accordingly and complies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Anne Maree Gardens uses pharmacy pre-packaged medicine that is checked by two RNs on delivery. An electronic medication system is used. Weekly checks and six monthly controlled drugs stocktakes are conducted and confirmed that stock levels are correct. The clinical leader is able to prescribe under the supervision of the GP. The clinical leader interviewed is the first Nursing Council of New Zealand approved RN prescriber working in a gerontology care setting that is able to prescribe who is not a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monitored. A system is in place for returning expired or unwanted medications to the contracted pharmacy. All medications are stored appropriately. Review of the medication fridge confirmed that the service does not store or hold vaccines and interviews with the clinical leader and a registered nurse confirmed they do not hold any vaccines on the premises.</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A safe process was observed. Current medication competencies were evident in staff records sampled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time of audit. A process is in place to ensure ongoing competency of the resident to self-administer if required and if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by the cook. The cook interviewed previously worked in the weekend and was available to cover the main cook. The main cook recently resigned and the weekend cook now works full time. The seasonal menu was reviewed by a consultant dietitian on the 14 November 2018. The food control plan is due to expire 2 July 2109. All kitchen staff have current food management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developed on admission as part of the admission process by the RN. Any identified dietary requirements and preferences are recorded. The dietary profiles are communicated to kitchen staff. Kitchen staff are updated if a resident’s dietary needs change and when dietary profiles are reviewed six monthly. Diets are modified as required and the kitchen staff interviewed confirmed awareness of the dietary needs of residents. These are also clearly documented on the whiteboard in the kitchen for quick reference as needed. Supplements are provided to residents with identified weight loss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procurement, production, preparation, storage, delivery and disposal sighted at the time of the audit meet the requirements of the standard. The cook is responsible for ordering the food to meet the requirements of the menu plans. Food is stored appropriately in fridges and freezers which are daily monitored and dry food supplies are stored in the pantry.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the residents. Care planning includes specific interventions for both long-term and acute problems and are consistently recorded to meet the goals set.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documentation and records were current. Interviews with residents and family confirmed that care and treatment meets the residents’ needs. Staff interviewed confirmed they are familiar with the needs of the residents. There is a stable core of staff. Family communication is recorded in the individual progress records. The nursing progress notes and observation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programme/calendar is developed and implemented. There are two diversional therapists (DTs) and three activities coordinators. Two sessions are planned for each individual day of the week. The DTs plan a variety and range of activities both group and individual due to the nature of the services provided. Programmes are displayed in the service areas and in each resident’s individual room. On visual inspection, photo-boards provide evidence of all social events and outings of interest to the residents. The service hires a van for activities in the community and links with other like services and community groups on a regular basis.  An additional activity has been implemented in the afternoon which has resulted in positive outcomes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YPD residents 9three rest home and two hospital level care residents). Activities, such as Friday night dinners and movies, are planned regularly for the YPD residents. Each YPD resident has their own individualised activities plan. </w:t>
            </w:r>
          </w:p>
          <w:p w:rsidR="00EB7645" w:rsidRPr="00BE00C7" w:rsidP="00BE00C7">
            <w:pPr>
              <w:pStyle w:val="OutcomeDescription"/>
              <w:spacing w:before="120" w:after="120"/>
              <w:rPr>
                <w:rFonts w:cs="Arial"/>
                <w:b w:val="0"/>
                <w:lang w:eastAsia="en-NZ"/>
              </w:rPr>
            </w:pPr>
            <w:r w:rsidRPr="00BE00C7">
              <w:rPr>
                <w:rFonts w:cs="Arial"/>
                <w:b w:val="0"/>
                <w:lang w:eastAsia="en-NZ"/>
              </w:rPr>
              <w:t>From assessments on admission the DTs establish with the resident and/or family interests that are meaningful to each individual resident. One on one and group activities are documented on the individual activities plans reviewed. Each resident’s plan is reviewed six monthly at the MDT meeting, interRAI re-assessments and care plan reviews. The residents and family interviewed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and the short-term care plans are evaluated in a timely manner after the interRAI re-assessments are completed. The evaluations include the degree of achievement towards meeting desired goals and outcomes. Residents’ responses to their treatment are documented. Changes in the interventions are initiated when the desired goals/outcomes are not achieved. The clinical leader interviewed has a schedule which reflects when each individual resident’s interRAI assessment is due, when the care plan is due to be reviewed and when the multidisciplinary meetings (MDT) are due.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or issues when needed. These record goals and the required interventions for the identified short-term problems. The short-term care plans reviewed were signed, dated and closed out when the short-term problem had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June 2020)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site specific and reviewed annually.  A senior health care assistant with an interest in infection prevention and control regularly completes a ‘physical round’ of the facility and all service areas and reports any infection control issues directly to the clinical leader who follows these up. The clinical leader is the infection control coordinator for this service.</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identifies the requirements around the surveillance of infections. RNs report on-line any infections or antibiotics in use to the clinical leader. The clinical leader collates monthly infections, analyses data, compares the incidence of infections to the previous months’ results, the reason for the increase or decrease and the action advised. Any recommendations or outcomes are documented and discussed at the monthly staff meetings. Graphs sighted demonstrated frequency of infections. Residents records evidenced that those residents diagnosed with an infection had short-term care plans in place. The clinical leader reports to the GP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verified they are made aware of any infections through feedback from the RNs, meeting minutes, verbal handovers, short-term care plans and progress notes. This was confirmed during attendance at the handover and review of the residents’ records. The clinical leader confirmed that the last infection outbreak was 18 months ago and the appropriate agencies were notified and all protocol was followed as per the infection prevention and control manual. Records were maintained throughout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(the clinical leader)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No residents were using enablers. Policy identifies that enablers are the least restrictive and used voluntarily at the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gate to the car park is on a key pad lock. This is documented as environmental restraint in policy to meet standard requirements. This was confirmed during interviews and residents were observed leaving the grounds when they wished.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8"/>
        <w:gridCol w:w="1280"/>
        <w:gridCol w:w="7727"/>
        <w:gridCol w:w="1751"/>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identify that staffing numbers allow safe delivery of 24 hours, seven days a week care for residents. Staffing levels for the aged care unit meet interRAI acuity levels. During staff interviews they confirmed there are adequate numbers of staff available on all shifts to ensure safe services are provided to all residents. Staff replacements are clearly identified on the rosters sighted. The nine bed psychogeriatric unit has a nominated register nurse on morning and afternoon shift but they do not always remain in the unit. There are two dementia trained health care assistants rostered in the psychogeriatric unit from 11pm to 7am, however there is only one registered nurse on duty from 11pm to 7am at the facility who covers both the psychogeriatric unit and the care unit. No incidents have been documented during the hours of 11pm to 7am.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 does not have a dedicated registered nurse to cover all shifts. The contact required that a there is a registered nurse in the psychogeriatric unit across all shifts.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contractual requirements are met related to having a dedicated registered nurse rostered in the psychogeriatric across all shifts.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064"/>
        <w:gridCol w:w="46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easily accessed, responsive and fair complaints, concerns and issues process to ensure all resident and family concerns are captured and responded to promptly. The service identified a need to capture/include all issues, concerns and complaints no matter how minor, in the process. They have implemented a quality improvement process which ensures the outcomes are evaluated and that the implementation of corrective actions are embedded into everyday practice. The service has complaints forms clearly identified at the entrance to the service, staff document all verbalised concerns on complaints forms. The monthly residents’ meetings are used to identify any concerns no matter how minor. There is an advocacy group which is made up of representatives from under 65-year olds, long term care, hospital and rest home level care residents. They meet one or two days prior to the residents’ meetings. They discuss minor concerns raised by residents, such as staff speaking too loud during meal times, and items are placed on the residents’ meeting agenda. They are then dealt with via the complaints process. The advocacy group review outcomes of previous concerns or complaints which have all been resolved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or issues are also documented at the time they are received; this information is written in the staff communication book and discussed at each staff shift handover. To ensure all residents are satisfied with the complaint or issues raised follow up, an evaluation form is written and outcomes are discussed at the monthly residents’ meetings. The evaluation form identifies the implemented actions undertaken to resolve each complaint and the residents decide if the issue has been resolved to their satisfaction or if it remains unresolved. The residents’ meeting minutes for 2019 identify all issues had been resolved to the residents’ satisfaction. For example, some of the residents complained that their birthday cakes were not freshly made but sometimes had been frozen. This was discussed with the kitchen staff who agreed all birthday cakes would be freshly made for each occasion. The residents were very happy with this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complaints are responded to in writing to meet policy requirements. For example, one family member made a complaint about poor communication related to picking up their relative. The apology letter to the family identified actions taken, the reason the incident occurred and the assurance of the implementation of the actions taken to prevent this occurring again. The issue was resolved to the family member’s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 interviewed on the day of audit agreed they are kept very well informed about any concerns or issues that arise and that they feel included throughout the complaints process which allows them to evaluate the success of implemented actions. Documentation sighted shows that all issues are recorded through to a resolution.  Staff confirmed they are also informed of all outcomes at their monthly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actions all complaints, concerns and issues using a robust process which ensures all actions are implemented and evaluated in a transparent manner to include residents, family and staff as appropriate. The documentation related to complaints, concerns and issues is very detailed showing what actions were implemented, how they had been embedded into everyday practice, evaluation of outcomes and how the actions have improved service delivery. Residents and family members confirmed that all issues raised are dealt with in a prompt, professional manner at all times. Documentation identifies that resident input into seeking and monitoring positive outcomes to complaints, concerns and issues is valued by the service. The service evaluated the complaints management process and as all complaints, concerns and issues are now captured and recorded regardless of how small the issue is this has improved service delivery to ensure resident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individual activities plan in place. The plans are developed to ensure the skills, resources and interests of each individual resident is maximised. Many residents at Anne Maree Gardens have high needs and challenging behavioural issues to be considered. A project was instigated due to a high number of falls, altercations, aggressive incidents and residents being agitated by the gate closure, ‘sundowners’ and not being able to go outside on rainy days. An extended time frame for music therapy using musical videos and other musical activities in the afternoon, weekends and on rainy days was approved by management and was implemented. Residents reacted well to this music activity and this was observed in progress at the time of the audit. Resulting evidence demonstrated residents being more settled, calm, less aggressive and relaxed.  Some residents were observed interacting with other residents and those that wandered were less likely to leave the facility in the afternoons and there has been a decrease in the number of resident altercations, falls, wandering and aggressive behaviour at that time of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quality improvement projects incorporated into the activities afternoon programme and the implementation of increased activities for YPD residents, high needs residents and those who presented with high levels of behavioural challenges and aggression is rated as beyond the expected full attainment. The DT interviewed explained that since the music project was introduced a variety of residents spend time involved in this daily activity together (e.g., independent/hospital/psychogeriatric/younger people, and people of different cultures and abilities). There is a documented review process which includes the analysis and reporting of findings, resident, family and staff feedback which has been positive. A music activity satisfaction survey was also completed. The measured outcomes are many but above all the residents really enjoy and look forward to this additional daily activity and incidents have decreased.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Gardens</w:t>
    </w:r>
    <w:bookmarkEnd w:id="58"/>
    <w:r>
      <w:rPr>
        <w:rFonts w:cs="Arial"/>
        <w:sz w:val="16"/>
        <w:szCs w:val="20"/>
      </w:rPr>
      <w:tab/>
      <w:t xml:space="preserve">Date of Audit: </w:t>
    </w:r>
    <w:bookmarkStart w:id="59" w:name="AuditStartDate1"/>
    <w:r>
      <w:rPr>
        <w:rFonts w:cs="Arial"/>
        <w:sz w:val="16"/>
        <w:szCs w:val="20"/>
      </w:rPr>
      <w:t>18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