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V and C D Hodson - Westella Homestead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V and C D Hodson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Westella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June 2019</w:t>
      </w:r>
      <w:bookmarkEnd w:id="7"/>
      <w:r w:rsidRPr="009418D4">
        <w:rPr>
          <w:rFonts w:cs="Arial"/>
        </w:rPr>
        <w:tab/>
        <w:t xml:space="preserve">End date: </w:t>
      </w:r>
      <w:bookmarkStart w:id="8" w:name="AuditEndDate"/>
      <w:r w:rsidR="00A4268A">
        <w:rPr>
          <w:rFonts w:cs="Arial"/>
        </w:rPr>
        <w:t>7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Westella Homestead provides rest home and dementia level of care for up to 26 residents. The service is operated by CD Hodson and managed by a business support manager (BSM), clinical quality lead (CQL) and clinical team leader (CTL). Occupancy was 24 at the time of audit. There were no significant changes since the last audit. Residents and family/whanau spoke positively about the care provided. </w:t>
      </w:r>
    </w:p>
    <w:p w:rsidRPr="00A4268A">
      <w:pPr>
        <w:spacing w:before="240" w:line="276" w:lineRule="auto"/>
        <w:rPr>
          <w:rFonts w:eastAsia="Calibri"/>
        </w:rPr>
      </w:pPr>
      <w:r w:rsidRPr="00A4268A">
        <w:rPr>
          <w:rFonts w:eastAsia="Calibri"/>
        </w:rPr>
        <w:t>This certification audit was conducted against the Health and Disability Service Standards and service’s contracts with the district health board. The audit process included review of policies and procedures, review of residents’ and staff files, observations and interviews with residents, families, staff, management and general practitioner.</w:t>
      </w:r>
    </w:p>
    <w:p w:rsidRPr="00A4268A">
      <w:pPr>
        <w:spacing w:before="240" w:line="276" w:lineRule="auto"/>
        <w:rPr>
          <w:rFonts w:eastAsia="Calibri"/>
        </w:rPr>
      </w:pPr>
      <w:r w:rsidRPr="00A4268A">
        <w:rPr>
          <w:rFonts w:eastAsia="Calibri"/>
        </w:rPr>
        <w:t>There were 14 identified areas requiring improvement. The improvements relate to recognition of Maori values and beliefs, consumer information management system, human resources management, service provider availability, service provision requirements, planning, service delivery/interventions, medicine management, laundry services, shower and bathing facilities, facility specifications, restraint minimisation, infection control management and surveillance of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The residents' cultural, spiritual and individual values and beliefs are assessed and acknowledged. There is no evidence of abuse, neglect or discrimination. 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CD Hodson is the governing body and are responsible for the service provided at Westella Homestead. Dalcam Healthcare Limited is contracted to provide management services at Westella Homestead. Business and quality and risk management plans include the risks (scope, direction, goals, values and mission statement of the organisation). Monitoring of the services by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 collection and analysis of quality improvement data, identifies trends and leads to improvement. Staff are involved in quality and risk management,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meets the changing needs of residents. 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by the Needs Assessment Service Co-ordination (NASC) prior to entry to the service to establish a level of care. A registered nurse (RN) is responsible for the provision of care and documentation at every stage of the service delivery. The initial support plans, baseline assessments and care plans guide staff in the safe delivery of care to the residents. The care plans are resident, and goal orientated and reviewed every six months or earlier if required. Input from the resident/family is evident in the service delivery. Integration of allied health and a team approach is evident in the resident files reviewed. The general practitioner (GP) reviews residents three monthly or more often as required. Residents interviewed confirmed that they were happy with the care provided.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w:t>
      </w:r>
    </w:p>
    <w:p w:rsidRPr="00A4268A" w:rsidP="00621629">
      <w:pPr>
        <w:spacing w:before="240" w:line="276" w:lineRule="auto"/>
        <w:rPr>
          <w:rFonts w:eastAsia="Calibri"/>
        </w:rPr>
      </w:pPr>
      <w:r w:rsidRPr="00A4268A">
        <w:rPr>
          <w:rFonts w:eastAsia="Calibri"/>
        </w:rPr>
        <w:t xml:space="preserve">There is a secure electronic medication system at the facility. Medication charts are reviewed three monthly by the general practitioner. The registered nurses and senior caregivers that administer medication have annual medication competency assessments and receive annual education. </w:t>
      </w:r>
    </w:p>
    <w:p w:rsidRPr="00A4268A" w:rsidP="00621629">
      <w:pPr>
        <w:spacing w:before="240" w:line="276" w:lineRule="auto"/>
        <w:rPr>
          <w:rFonts w:eastAsia="Calibri"/>
        </w:rPr>
      </w:pPr>
      <w:r w:rsidRPr="00A4268A">
        <w:rPr>
          <w:rFonts w:eastAsia="Calibri"/>
        </w:rPr>
        <w:t>Residents' food preferences and dietary requirements are identified at admission and accommodated. All meals are cooked on-site. The kitchen is well equipped for the size of the service. Food, fluid and nutritional needs of residents are provided in line with recognised nutritional guidelines and additional requirements/modified needs were being met.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facility meets the needs of the residents and is clean and well maintained. There is a current building warranty of fitness. Electrical equipment is tested as required. Communal areas and individual rooms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prompt staff response to call bells and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Westella homestead has processes in place for determining safe and appropriate restraint and enabler use. The facility is a secure unit, and on the day of audit there were no residents requiring the use of restraints or enablers. Staff receive training in restraint minimisation and challenging behaviour. On the day of the audit there were two rest home residents’ who have requested to remain in the facility, despite it being a secure facility they are able to independently exit the facility at any time.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residents, service providers and visitors. Reporting lines are clearly defined with the infection control coordinator reporting to the clinical team leader. </w:t>
      </w:r>
    </w:p>
    <w:p w:rsidRPr="00A4268A">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nurse is responsible for this programme. The clinical team leader is responsible for staff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appropriate to the size and complexity of the organisation according to the descriptions of the process in the programme. Data on the nature and frequency of identified infections has been collated and analysed. Surveillance results are benchmarked with an external provider. The results of surveillance are reported to organisation management.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9"/>
        <w:gridCol w:w="1280"/>
        <w:gridCol w:w="96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Westella Homestead has developed policies, procedures and processes to meet its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ongoing training as verified in the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at Westella homestead, residents are given a copy of the Code, which includes information on the Advocacy Service. Posters and brochures related to the Advocacy Service were displayed and available in the facility. Family members and residents interviewed were aware of the Advocacy Service, how to access this and their right to have support persons. The CTL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the Right 10 of the </w:t>
              <w:tab/>
              <w:t>Code. Information on the complaint process is provided to residents and families on admission and those interviewed knew how to make a complaint. The service aims to acknowledge the complaint in five working days and outcomes are to be reported in 10 working days. If more time is needed reason for delay is noted.</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complaints have been received over the previous year and this year and actions were taken through to an agreed resolution, are documented and completed in a prompt manner. Action plans show any required follow up and improvements that have been made where possible. The CTL is responsible for the day to day complaints process with the BSM supporting where complaints are escalated to the DHB, HDC, or Ministry of Health. There have been no complaint investigations by the Ministry of Health (MOH), Health and Disability Commission (HDC) Police, Accident Compensation Corporation (ACC) or Coroner since the previous audit at this facility. All staff and family/whanau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Nationwide Health and Disability Advocacy Services during admission and discussion with staff. The Code is displayed at the reception area and around the facility together with information on advocacy services and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Westella Homestead’s resident information booklet was in place. Signed residents’ agreements were sighted in records reviewed. Service agreements meet the requirements of this standard and district health board requirements. Monthly residents’ meetings are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maintaining privacy throughout the audit days. All residents have a private room. Residents are encouraged to maintain their independence by engaging in regular exercises. Care plans reviewed included documentation related to the residents’ abilities and strategies to maximise independence. Records reviewed confirmed that each resident’s individual cultural, religious, social needs, values and beliefs had been identified, documented and incorporated into their care plan. Residents who identified as Maori had no Maori health care plan in place and advisory groups were not being involved (refer to 1.1.4.3).</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Maori to integrate their cultural values and beliefs. The principles of the Treaty of Waitangi are incorporated into day to day practice, as is the importance of whanau. Family/whanau interviewed reported that staff acknowledge and respect their individual cultural needs. Recognition of Maori services in the care planning process could be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resident. Values and beliefs are discussed and incorporated into the care plan (refer 1.1.4.3). Residents and family members interviewed confirmed they are encouraged to be involved in the development of the long-term care plans. Residents’ personal preferences and special needs were included in care plans reviewed. The resident/family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Management representatives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as all resident were conversant with the English language. Staff can provide interpretation as and when needed;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CD Hodson is the governing body and are responsible for the service provided at Westella Homestead. CD Hodson have contracted the management of Westella to Dalcam Healthcare Limited (Dalcam). The BSM for Dalcam was interviewed and advised they report monthly to the board of directors. The BSM overseas two other sites owned by CD Hodson.</w:t>
            </w:r>
          </w:p>
          <w:p w:rsidR="00EB7645" w:rsidRPr="00BE00C7" w:rsidP="00BE00C7">
            <w:pPr>
              <w:pStyle w:val="OutcomeDescription"/>
              <w:spacing w:before="120" w:after="120"/>
              <w:rPr>
                <w:rFonts w:cs="Arial"/>
                <w:b w:val="0"/>
                <w:lang w:eastAsia="en-NZ"/>
              </w:rPr>
            </w:pPr>
            <w:r w:rsidRPr="00BE00C7">
              <w:rPr>
                <w:rFonts w:cs="Arial"/>
                <w:b w:val="0"/>
                <w:lang w:eastAsia="en-NZ"/>
              </w:rPr>
              <w:t>The directors meet quarterly and 2014-2019 strategic plan and 2019-2020 business plan were sighted. The BSM reported that the service is on a transition process from hardcopy documents to a new electronic system namely the Stella library.</w:t>
            </w:r>
          </w:p>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long-term objectives and the associated operational plans. Monthly/quarterly reports to the board of directors/owners showed adequate information to monitor performance is reported including potential risks, contracts, human resource and staffing, occupancy, maintenance, quality management and financial performance.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BSM is supported by the senior management team of clinical quality lead, Information Communication and Technology (ICT). Development Manager (DM) and Financial Manager (FM) and senior management team support the (CTL) in managing the facility and provision of services. The management team meets monthly. All members of the management team are suitably qualified and maintain professional qualifications in management, finance and clinical skills. The service is managed by a CTL who holds relevant qualifications and has been employed by Dalcam for six years and has been in the role of CTL for three years. Responsibilities and accountabilities are defined in a job description and individual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MOH) for YPD, respite and day care services and complex medical conditions, respectively. 24 residents were receiving services on the days of the audit. At the time of the audit there were two rest home residents who consented to being in a secure environment and 22 assessed as requiring dementia level care (one of whom was under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CTL is absent the RN carries out all the required duties under delegated authority supported by the BSM and CQL. The RN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management of incidents and complaints, internal and external audit programme, regular family/resident satisfaction survey, monitoring of outcomes, clinical incidents and accidents including infections and surveillance.</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meeting/quality and risk team meetings and staff meetings. Staff reported their involvement in quality and risk management activities through audit activities. Relevant corrective actions are developed and implemented to address any shortfalls. Resident and family satisfaction surveys are completed annually. The most recent family/whanau 2019 survey showed that respondents were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process. Policies are based on best practice and are current. The document control system ensures a systematic and regular review process, referencing of relevant sources, approval, distribution and removal of obsolete documents (refer 1.2.9.5).</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business support manager described the process for the identification, monitoring, review and reporting of risks and development of mitigation strategies. The BSM is familiar with the Health and Safety at Work Act (2015) and has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 up in a timely manner. There were two residents who had falls and required admission to the local district health board. Neurological observations were not consistently completed post falls (refer 1.3.6.1). Adverse events data is collated, analysed and reported to the management and directors, respectively. There is an open disclosure policy in place. Any communication with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Lead described essential notification reporting requirements, including for pressure injuries, police attending the facility, unexpected deaths, critical incidents, infectious disease outbreaks and missing persons. They advised there have been notifications of significant events made to the MOH since the previous audit such as change in the management structure.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All staff have completed dementia level training, and some are enrolled in the required course. Staff performance is monitored, and annual performance appraisals were sighted in all files reviewed. There are enough trained and competent RNs who maintain their annual competency requirements to undertake interRAI assessments. Records reviewed demonstrated completion of the required training and completion of annual performance appraisals. Competency assessment questionnaires are completed for medication management and restraint/challenging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Orientation of the CTL to the managers role could be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supported this. Observations and review of a four -week roster cycle confirmed adequate staff cover has been provided, with staff replaced in any unplanned absence. At least one staff member on duty has a current first aid certificate and there is RN cover during the day. CTL reported they come in when called in emergency situations any time after hours. An improvement is required to ensure the diversional therapist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reviewed. Clinical notes were current and integrated with GP and allied health service provider notes. Resident progress notes are completed every shift, detailing resident response to service provision and progress towards identified goals (refer 1.3.3.3).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 An improvement is required to ensure residents’ past records are kept for the required retention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requirements and procedures to be followed when a resident is admitted to the service. All resident files reviewed had the appropriate needs assessments prior to admission to the service. The enduring power of attorney (EPOA) of each resident requiring specialised care, has consented to the resident being admitted. Admission agreements reflect all the contractual requirements. Families and residents reported that the admission agreements were discussed with them in detail by the CTL. Information about the service includes the specific dementia care services provided, including the use of technology to facilitate management of residents with dementia in an environment of minimal restrictions and risk. Full details of the services location and hours, how the service is accessed and the process if a resident requires a change in the care provided, is also included. </w:t>
            </w:r>
          </w:p>
          <w:p w:rsidR="00EB7645" w:rsidRPr="00BE00C7" w:rsidP="00BE00C7">
            <w:pPr>
              <w:pStyle w:val="OutcomeDescription"/>
              <w:spacing w:before="120" w:after="120"/>
              <w:rPr>
                <w:rFonts w:cs="Arial"/>
                <w:b w:val="0"/>
                <w:lang w:eastAsia="en-NZ"/>
              </w:rPr>
            </w:pPr>
            <w:r w:rsidRPr="00BE00C7">
              <w:rPr>
                <w:rFonts w:cs="Arial"/>
                <w:b w:val="0"/>
                <w:lang w:eastAsia="en-NZ"/>
              </w:rPr>
              <w:t>Four of the five resident files reviewed had admission agreements signed on admission. One admission agreement was signed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An electronic medicine management system (Medimap) is implemented to ensure residents receive medicines in a safe and timely manner. RNs and care staff who administer medications have been assessed for competency on an annual basis and attend annual medication education. The GP prescribes medication electronically. Pre-packaged medications received are checked on delivery from the pharmacy, against the medication chart by the RN and stored safely in a locked cupboard located in the treatment room. The staff administering medications complied with the medication administration policies and procedures as evidenced in the observed medication round on the day of audit. There were no residents who self-administer their own medicines on the day of the audit. There were no controlled drugs in use or on site on the days of audit. The controlled drug register evidences accurate records. The temperature of medication fridge was monitored and recorded as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online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 charts sampled had photo identification and allergy status. Not all medication charts reflected documented evidence of the effectiveness of the prn medication administered.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policies and procedures included the principles of food safety, ordering, storage, cooking, reheating and food handling. There is a well-equipped kitchen and all meals are prepared and cooked on-site by the kitchen staff. There was a food service manual in place to guide the staff. All staff has had food safety training. The service has a valid food control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The RNs complete a nutritional profile for each resident on admission and provides the kitchen with the dietary requirement form. Additional or modified foods are also provided by the service. There was evidence that there are additional snacks available over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food temperatures were monitored and recorded daily. Cooked meals are plated from the kitchen directly to the dining room. The meals were well-presented, and residents confirmed that they are provided with alternative meals as per request. Special equipment to meet resident’s nutritional needs were sighted. All residents are weighed regularly. Residents with weight loss problems are provided with food supplements. Residents interviewed spoke positively about the food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transportation, delivery and disposal comply with current legislation and guidelines. The service ensures the effectiveness of chemical use, cleaning, and food safety practices in the kitchen is maintained. A signed cleaning schedule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was enough staff on duty in the dining rooms at mealtimes to ensure appropriate assistance is available to residents as needed. Residents requiring assistance with feeding were served first.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decline of entry to the service. When a resident’s entry to the service is declined, the resident/whanau are referred to the referrer to ensure that the resident is admitted to the appropriate level of care provider. The reason for declining entry is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 The CTL reported that the district health board needs assessors and social workers contact the manager to discuss the suitability of the resident prior to sending the resident and their family to view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admission, residents have their level of care identified through a needs assessment by the Needs Assessment and Service Coordination (NASC) agency. The RNs utilises standardised assessment tools to gather information regarding the resident, in consultation with the resident and their relatives where appropriate. Files sampled contained appropriate completed assessment tools and interRAI assessments were reviewed at least six monthly or when there is a change to a resident’s health condition. The interRAI assessments have been completed for all resident files sampled within the required timeframes. Cultural, sexuality and intimacy needs have been identified for the residents. On admission an activity profile is developed based on the activity assessment and this is reviewed six monthly with the care plan. Additional assessments were completed according to the need e.g. including nutritional, continence and pressure assessments. The information gathered is documented and informs the initial care planning process. This takes place in the privacy of the resident’s bedroom or the whanau room with the resident and/or family/whanau present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five days of admission and reviewed as a resident's condition changes, or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The care plans reviewed were resident focused and individualised for one of five resident files reviewed. Acute care plans were used for short-term needs (link 1.3.6.1). Relatives and resident interviewed confirmed they were involved in the care planning process. Resident files demonstrate service integration and evidence of allied healthcare professionals involved in the care of the resident such as the mental health services for older people. </w:t>
            </w:r>
          </w:p>
          <w:p w:rsidR="00EB7645" w:rsidRPr="00BE00C7" w:rsidP="00BE00C7">
            <w:pPr>
              <w:pStyle w:val="OutcomeDescription"/>
              <w:spacing w:before="120" w:after="120"/>
              <w:rPr>
                <w:rFonts w:cs="Arial"/>
                <w:b w:val="0"/>
                <w:lang w:eastAsia="en-NZ"/>
              </w:rPr>
            </w:pPr>
            <w:r w:rsidRPr="00BE00C7">
              <w:rPr>
                <w:rFonts w:cs="Arial"/>
                <w:b w:val="0"/>
                <w:lang w:eastAsia="en-NZ"/>
              </w:rPr>
              <w:t>In the five resident files sampled the care plans are evaluated six monthly on the day the new care plan is generated or more frequently as the resident's condition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were evidenced on resident records and confirmed at resident and staff interviews. Residents and family/whanau members expressed satisfaction with the care provided. Documentation in the care plan did not always include the detailed interventions required to meet some residents assessed needs, desired outcomes or goals as their condition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The service had no wounds or pressure sores on the day of audit. Registered nurse and caregivers interviewed state there was adequate access to equipment and medical supplies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Acute care plans document appropriate interventions to manage short-term changes in health, however there was no acute care plan in place for one resident with a chest infection. Neurological observations had not been completed as per policy for unwitnessed falls for three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one diversional therapist (DT) and an activity assistant who work 40 hours a week to operate the activities programme. Residents are assessed on admission to ascertain their needs and appropriate activity and social requirements. Activities profiles are developed, and a holistic 24/7 activities programme is created that is meaningful to the resident. Activities provided are appropriate to the needs, skill, age and culture of the residents. The one resident under 65 years had a detailed activity plan in place. The activities plans are reviewed six monthly or more often and the reviews documented the resident’s progress towards goals. The activities staff interviewed displayed an understanding of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plans are posted in the lounge and included exercises, gardening, bingo, church services and quizzes. The activities are physically and mentally stimulating. The activity plans sampled were well-documented and reflected the resident’s preferred activities and interests. Residents activity participation logs were sighted, and a positive uptake was noted. The interviewed resident and families indicated that the activities provided by the service are adequate and enjoyable. Van outings to local attractions take place and residents have signed consents for going on outings, on record. Community involvement is maintained through the weekly church services, external entertainers and van outings. Residents were observed playing cards, gardening, playing pool, wandering in the garden and enjoyed a van trip on that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by the activity team. Meeting minutes and satisfaction surveys evidence the activities programme is discussed and that management are responsive to requests. Interviews verify feedback is sought and satisfaction with the activities offered by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however registered nurse reviews are not documented in progress notes (link 1.3.3.3). If the care staff notes any change,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in conjunction with family, GP and specialist service providers. Where progress is different from expected, the service is seen to respond by initiating changes to the service delivery plan (refer 1.3.6.1).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District Health Board (DHB). Referrals are followed up on a regular basis by the registered nurse or the GP. The resident and the family are kept informed of the referral process, as verified by documentation and interviews. Acute or urgent referrals are attended to and the resident transferred to public hospital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There is a designated chemical handler who has completed the required chemical handling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publicly displayed. 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secured by electronic gates with security cameras and high fences. Residents can walk around freely throughout the facility and grounds. There is GPS tracking for residents who have been identified with dementia related wandering. External areas are safely maintained and are appropriate to the resident groups and setting. Residents confirmed they know the processes they should follow if any repairs or maintenance is required, any requests are appropriately actioned and that they are happy with the environment. An improvement is required to ensure that all environmental areas are safe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they are vacant or occupied. Appropriately secured and approved handrails are provided in the toilet/shower areas, and other equipment/accessories are available to promote residents’ independence. Maintenance of wall surfaces in most shower/bathing facilities could be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Personal privacy is maintained. Rooms are personalised with furnishings, photos and other personal items displayed. There is room to store mobility aids and wheelchairs.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such as bedding, and towels is washed off site by a contracted provider and personal laundry is washed on site or by family members if requested. Family/whanau interviewed expressed satisfaction with the laundry management and that clothes are returned in a timely manner. There are designated cleaning personnel who have received appropriate training. Chemicals were stored in a lockable cupboard and were in appropriately labelled containers.</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internal audit programme and corrective actions are acted upon. Handling of soiled linen including having clear separate areas for clean and dirty laundry need to be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 preparation for disasters. These describe procedures to be followed in the event of a fire or other emergency. The current fire evacuation plan was approved by the New Zealand Fire Service. A trial evacuation takes place six-monthly with a copy sent to the New Zealand Fire Service, the most recent being on 23 May 2019. The orientation programme includes fire and evacuation.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were sighted and meet the requirements for the 24 residents at the service. Water storage tanks are located around the complex, and a generator is hired when needed. Emergency lighting is regularly tested. 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 or small patio areas. Heating is provided by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Westella Homestead has an established infection control (IC) programme. The service provides a managed environment that minimises the risk of infection to residents, staff and visitors by the implementation of an appropriate infection prevention and control programme. The infection control programme is appropriate for the size, complexity and degree of risk associated with the service. The infection control programme, reviewed annually, establishes, maintains and monitors procedures covering infection control practices. The infection control practices are guided by the infection control manual in conjunction with the public health advisor at Mid Central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control person with support from all staff. It was noted that the infection control nurse did not have a signed appointment letter and job description on file. Infection control monthly reports were not integrated into the staff meetings. The clinical team leader manages infection control training. Education has been provided for staff as evidenced. On the day of audit there was one resident diagnosed with chest infection (link 1.3.6.1). </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There are enough hand sanitisers placed throughout the facility. Residents and staff are offered the influenza vaccine.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together with the clinical team leader is responsible for implementing the infection control programme and reports to the clinical team leader, who reports to the general manager (link 3.1.1). </w:t>
            </w:r>
          </w:p>
          <w:p w:rsidR="00EB7645" w:rsidRPr="00BE00C7" w:rsidP="00BE00C7">
            <w:pPr>
              <w:pStyle w:val="OutcomeDescription"/>
              <w:spacing w:before="120" w:after="120"/>
              <w:rPr>
                <w:rFonts w:cs="Arial"/>
                <w:b w:val="0"/>
                <w:lang w:eastAsia="en-NZ"/>
              </w:rPr>
            </w:pPr>
            <w:r w:rsidRPr="00BE00C7">
              <w:rPr>
                <w:rFonts w:cs="Arial"/>
                <w:b w:val="0"/>
                <w:lang w:eastAsia="en-NZ"/>
              </w:rPr>
              <w:t>The ICN and observation verified there are enough human, physical and information resources to implement the infection control programme at Westella Homestead. Training records sighted, and interview verified the ICN attended infection control training. External resources and support are available through the DHB and public health department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The policies reflect current best practice and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verify knowledge of infection control policies. Staff are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surveillance of infections is occurring and is the responsibility of the infection control nurse (ICN).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daily at handover, and via electronic alerts,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are presented at the quality meetings and any ongoing corrective actions discussed. Infection control data is not presented to staff at staff meetings, as showed by meeting records, infection control records and staff interviews. The service participates in internal benchmarking within the organisation’s other facilities as well as external benchmarking with similar service. Surveillance date evidences incidents of infections are 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The service demonstrated that the use of restraint was actively minimised. The residents are free to wander around the gardens. There were no locked doors and residents can enter or leave the building as they feel like. There was no evidence of any resident using physical restraints or enablers on the day of the audit. Interviews with staff, residents and their family members confirmed physical restraint and enablers were not being used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two residents assessed as requiring rest home care have requested to stay at the facility after rest home level of care changed to dementia level of care. These residents have consented to being cared for in a designated secure unit (refer 1.3.3), as they did not want to leave the facility. Review of these residents’ files evidenced written consent records, requesting their desire to stay at the facility despite it being secure. At interview it was verified that the residents have the means to independently exit the unit at any time and the provider does not intentionally restrict the residents’ normal access to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is the restraint coordinator. The assessment and approval process for restraint use included the restraint coordinator, registered nurse, resident or representative and medical practitioner.  On the day of audit there were no residents on restraints.  It was noted that there was no signed appointment letter or job description evidenced on restraint coordinators file.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6"/>
        <w:gridCol w:w="1280"/>
        <w:gridCol w:w="5367"/>
        <w:gridCol w:w="2463"/>
        <w:gridCol w:w="16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Guidance on tikanga best practice is available and is supported by staff who identify as Maori in the facility. There was no current Maori health plan developed for residents with input from cultural advisory groups where appropriate.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Maori did not receive services that commensurate with their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advisory groups are consulted where appropriate and Maori health care plans are developed where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orientation is generic for all roles. The CTL has been employed by service for six years and been in the role for three years. Staff reported that the orientation process prepared them adequately for their role. Staff records reviewed showed documentation of completed orientation and performance reviews after three months of service. Orientation of the CTL to the manager’s role could be improved.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the CTL was given specific orientation relevant to the manager’s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CTL has been orientated to the manager’s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delivery, 24 hours a day, seven days a week. The service adjusts staffing levels to meet the changing needs of residents. An afterhours on call roster is in place, with staff reporting that good access to advice is available when required. Care staff reported there were adequate staff available to complete the work allocated to them. Evidence of Diversional Therapist first aid certificate was not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provided to show that the Diversional Therapist had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the Diversional Therapist has undergone first aid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No personal or private resident information was on public display during the audit. Residents’ past care plan records and interRAI assessments were being destroyed.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of past care plans and interRAI assessments were being destroyed.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past records are kept for a period of 10 years as outlined in the Health (Retention of Health Information) Regulations 1996.</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and prn medications were prescribed and administered correctly. All medication charts had been reviewed by the GP three monthly. There are no standing orders in use. The facility did not have controlled drugs on site. Charts reviewed did not have documented evidence of the effectiveness of the prn medication that was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reviewed did not have documented evidence of the effectiveness of PRN medication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effectiveness of PRN medication administered is documented after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files reviewed had initial assessments, InterRAI assessments and long-term care plans developed within 21 days of admission. Lifestyle plans had been evaluated six monthly. Care plan evaluations were completed six monthly when the new care plans were generated. The progress notes did not reflect regular documented review by the registered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had not reviewed residents progress regularly and document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registered nurses document residents’ progress and review in progress notes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in consultation with the resident/whanau. Information used from assessments, GP medical notes and discharge summaries are used to describe the required support/interventions to meet the resident needs. Four of five lifestyle plans (one hospital and three rest home) did not reflect the resident’s current interventions and needs/supports. One resident that identifies as Maori did not have a Maori health care plan in place (link 1.4.1).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care plans reviewed (dementia level of care) did not reflect the resident’s current interventions and needs/supports for the following; </w:t>
            </w:r>
          </w:p>
          <w:p w:rsidR="00EB7645" w:rsidRPr="00BE00C7" w:rsidP="00BE00C7">
            <w:pPr>
              <w:pStyle w:val="OutcomeDescription"/>
              <w:spacing w:before="120" w:after="120"/>
              <w:rPr>
                <w:rFonts w:cs="Arial"/>
                <w:b w:val="0"/>
                <w:lang w:eastAsia="en-NZ"/>
              </w:rPr>
            </w:pPr>
            <w:r w:rsidRPr="00BE00C7">
              <w:rPr>
                <w:rFonts w:cs="Arial"/>
                <w:b w:val="0"/>
                <w:lang w:eastAsia="en-NZ"/>
              </w:rPr>
              <w:t>(i) four residents with mood and challenging behaviours as triggered in the assessment had insufficient interventions addressing management of mood and challenging behaviour, identification of triggers and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dementia level of care residents with high falls risk as identified in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with advancing chronic illness that had urinary incontinence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reflect the resident’s current needs/supports to meet the resident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evidenced that monitoring occurs for weight, vital signs and blood glucose. Three residents post-unwitnessed falls did not have neurological observation completed as per policy. One resident with chest infection did not have a short-term care plan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documented short-term care plan in place for one resident with chest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Neurological observations had not been completed as per policy for three residents with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Provide evidence that care plans are updated as per residents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(ii) Provide evidence that neurological observations are completed for unwitnessed falls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Efforts are made to ensure the environment is hazard free, that residents are safe, and independence is promoted. Broken windowpane in one of the bedrooms plus two-bathroom windows had no safety bars in place as they were opening wide. All this was repaired on the audit days reducing any potential risks however the gated back-stairway on the upper floor was not safe for residents. The gated stairway was raised to a safe height after the audit and evidence was sighted.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gate and the other supporting structure on the stairway were too low for residents’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stairway access is safe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This includes private ensuites and shared bathrooms. Records of hot water temperatures are maintained to ensure that the water remains at a safe and consistent temperature. Visitor toilets are available throughout the facility. Wall surfaces in most shower/bathing facilities were shrinking and cracking. All this was repaired after the audit and evidence was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Wall surfaces in most shower/bathing facilities were not consistent with infection control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wall surfaces are repaired and regularly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 are monitored through internal audit programme and corrective actions are acted upon. Care staff demonstrated a sound knowledge of the laundry processes however dirty/clean areas were not clear and handling of soiled linen was not consistent. Signage was put up on the audit days in the laundry indicating clean and dirty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clear demarcation of clean and dirty areas in the laundry.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are marked demarcations in the laundry for clean and dirty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infection control person for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did not have a signed appointment letter to the role and an accompanying job description defining lines of accountability.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signed appointment letter and job description are in place.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collates infection control data and reports to the clinical team leader.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Results of infection control data are not evidenced in minutes of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infection control data is presented at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is the designated restraint coordinator for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team leader is appointed to oversee the restraint role however it was noted that there was no signed appointment letter and job description evidenced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 signed appointment letter and job description are in place.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V and C D Hodson - Westella Homestead</w:t>
    </w:r>
    <w:bookmarkEnd w:id="58"/>
    <w:r>
      <w:rPr>
        <w:rFonts w:cs="Arial"/>
        <w:sz w:val="16"/>
        <w:szCs w:val="20"/>
      </w:rPr>
      <w:tab/>
      <w:t xml:space="preserve">Date of Audit: </w:t>
    </w:r>
    <w:bookmarkStart w:id="59" w:name="AuditStartDate1"/>
    <w:r>
      <w:rPr>
        <w:rFonts w:cs="Arial"/>
        <w:sz w:val="16"/>
        <w:szCs w:val="20"/>
      </w:rPr>
      <w:t>6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