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Wensley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Wensley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May 2019</w:t>
      </w:r>
      <w:bookmarkEnd w:id="7"/>
      <w:r w:rsidRPr="009418D4">
        <w:rPr>
          <w:rFonts w:cs="Arial"/>
        </w:rPr>
        <w:tab/>
        <w:t xml:space="preserve">End date: </w:t>
      </w:r>
      <w:bookmarkStart w:id="8" w:name="AuditEndDate"/>
      <w:r w:rsidR="00A4268A">
        <w:rPr>
          <w:rFonts w:cs="Arial"/>
        </w:rPr>
        <w:t>10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Wensley House provides rest home care for up to 30 residents. The service is operated by Experion Care NZ Limited and managed by a general manager and a clinical services manager. There were 27 residents at the time of audit.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Six areas were Identified as areas of improvements relating to quality management, residents care plans, maintaining up to date medications, food services, maintenance in communal showers, shelves in the laundry areas and Infection Prevention and Control education.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If a resident should identify as Māori a plan is in place to ensure their needs are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 There are no outstanding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delivers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clinical nurse manager (CNM) and clinical nurse leader (CNL) are responsible for completing all the required assessments, development and evaluation of care plans. Short term care plans are developed for any acute needs as required.</w:t>
      </w:r>
    </w:p>
    <w:p w:rsidRPr="00A4268A" w:rsidP="00621629">
      <w:pPr>
        <w:spacing w:before="240" w:line="276" w:lineRule="auto"/>
        <w:rPr>
          <w:rFonts w:eastAsia="Calibri"/>
        </w:rPr>
      </w:pPr>
      <w:r w:rsidRPr="00A4268A">
        <w:rPr>
          <w:rFonts w:eastAsia="Calibri"/>
        </w:rPr>
        <w:t>Planned activities are appropriate for the residents’ assessed needs and abilities. Residents and family/whanau interviewed expressed satisfaction with the activities provided by the activity coordinators.</w:t>
      </w:r>
    </w:p>
    <w:p w:rsidRPr="00A4268A" w:rsidP="00621629">
      <w:pPr>
        <w:spacing w:before="240" w:line="276" w:lineRule="auto"/>
        <w:rPr>
          <w:rFonts w:eastAsia="Calibri"/>
        </w:rPr>
      </w:pPr>
      <w:r w:rsidRPr="00A4268A">
        <w:rPr>
          <w:rFonts w:eastAsia="Calibri"/>
        </w:rPr>
        <w:t>The service uses an electronic medication system. Medication is administered by staff with current medication competencies. Three monthly reviews are completed by the attending general practitioners (GPs).</w:t>
      </w:r>
    </w:p>
    <w:p w:rsidRPr="00A4268A" w:rsidP="00621629">
      <w:pPr>
        <w:spacing w:before="240" w:line="276" w:lineRule="auto"/>
        <w:rPr>
          <w:rFonts w:eastAsia="Calibri"/>
        </w:rPr>
      </w:pPr>
      <w:r w:rsidRPr="00A4268A">
        <w:rPr>
          <w:rFonts w:eastAsia="Calibri"/>
        </w:rPr>
        <w:t xml:space="preserve">Nutritious meals, snacks and fluid are provided and meet nutritional needs and preferences of residents. Residents who require special or modified meals are catered for.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Wensley house has a philosophy and practice of no restraint. On the days of audit there were no restraints or enablers in use. Policies and procedures meet the requirements if a restraint is required. Staff education in restraint minimisation and challenging behaviour is ongoing.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 is in place to minimise the risk of infection to residents, visitors and other service providers. The infection control coordinator is responsible for co-ordinating education and training of staff. Documentation evidenced that relevant infection control education is provided to staff. Infection data is collated monthly and analysed and reported during staff and management meetings. The infection control surveillance and associated activities are appropriate for the size and complexity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96"/>
        <w:gridCol w:w="1280"/>
        <w:gridCol w:w="90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Wensley House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manager provided examples of the involvement of Advocacy Services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three complaints have been received over the past year and that actions taken, through to an agreed resolution, are documented and completed within the timeframes.  </w:t>
            </w:r>
          </w:p>
          <w:p w:rsidR="00EB7645" w:rsidRPr="00BE00C7" w:rsidP="00BE00C7">
            <w:pPr>
              <w:pStyle w:val="OutcomeDescription"/>
              <w:spacing w:before="120" w:after="120"/>
              <w:rPr>
                <w:rFonts w:cs="Arial"/>
                <w:b w:val="0"/>
                <w:lang w:eastAsia="en-NZ"/>
              </w:rPr>
            </w:pPr>
            <w:r w:rsidRPr="00BE00C7">
              <w:rPr>
                <w:rFonts w:cs="Arial"/>
                <w:b w:val="0"/>
                <w:lang w:eastAsia="en-NZ"/>
              </w:rPr>
              <w:t>Action plans show any required follow up and improvements have been made where possible. The general manager is responsible for complaints management and follow up. All staff interviewed confirmed a sound understanding of the complaint process and what actions are required. There has been one complaint received from external sources since the previous audit, this is now closed.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 being made aware of the Code and the Nationwide Health and Disability Advocacy Service (Advocacy Service) as part of the admission information provided. The Code is displayed in the main foyer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community activities, and participation in community activities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One Māori resident interviewed identify themselves as Māori,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palliative care team, wound care specialist,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Another example of good practice observed during the audit is the recent introduction of medication e prescribing, the general manager reported the number of medication incidents has significantly reduced.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though reported this was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annual and longer-term objectives and the associated operational plans. A sample of monthly reports to the board of directors which includes the owner showed adequate information to monitor performance is reported including performance,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general manager (GM) who holds relevant qualifications and has been in the role for two years. Responsibilities and accountabilities are defined in a job description and individual employment agreement. The GM confirms knowledge of the sector, regulatory and reporting requirements and maintains currency through education related to residential aged care management. Recent management changes include the employment of an experienced senior registered nurse as a clinical manager, to oversee clinical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DHB and MoH for complex medical conditions as well as palliative/end of life care. At the time of audit 27 residents were receiving services under the contract, there were no residents under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general manager is absent, a clinical manger carries out all the required duties under delegated authority. During absences of key clinical staff, the clinical management is overseen by a senior carer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and clinical incidents including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Wensley House policies and procedures have been developed by an aged care external consultant contractor. An improvement is required to ensure all Policies and procedures meet the requirements of the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hard copies of policies and procedures which are located in the specific areas of use.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staff meetings. Staff reported their involvement in quality and risk management activities through audit activities. Relevant corrective actions are developed and implemented to address any shortfalls. Resident and family satisfaction surveys are completed annually. The most recent survey showed residents were satisfied with services.</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described the process for the identification, monitoring, reviewing and reporting of risks and development of mitigation strategies. The general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 forms reviewed showed these were fully completed, incidents were investigated, action plans developed and actions followed-up in a timely manner. Adverse event data is collated, analysed and reported to the board and at staff meetings. Staff confirmed that they are made aware of their responsibilities in this regard during their orientation and in policy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described essential notification reporting requirements, including for pressure injuries. They advised there has been one notification of significant events made to the local district health board, since the previous audit, this has been resolved. </w:t>
            </w:r>
          </w:p>
          <w:p w:rsidR="00EB7645" w:rsidRPr="00BE00C7" w:rsidP="00BE00C7">
            <w:pPr>
              <w:pStyle w:val="OutcomeDescription"/>
              <w:spacing w:before="120" w:after="120"/>
              <w:rPr>
                <w:rFonts w:cs="Arial"/>
                <w:b w:val="0"/>
                <w:lang w:eastAsia="en-NZ"/>
              </w:rPr>
            </w:pPr>
            <w:r w:rsidRPr="00BE00C7">
              <w:rPr>
                <w:rFonts w:cs="Arial"/>
                <w:b w:val="0"/>
                <w:lang w:eastAsia="en-NZ"/>
              </w:rPr>
              <w:t>A Clinical Nurse Manager (CNM) has recently been appointed, (0.6FTE) who’s role is to oversee all clinical aspects of patient care. The CNM has wide knowledge of the sector and currently works in a similar position at another similar facility in the region.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hazard register that identifies the hazards in the facility and delivery of services. This includes minimization strategies to address the risks associated with service provision. The internal auditing system, hazards checklists and inspections are implemented to monitor on-going compliance.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reference checks and validation of qualifications and practising certificates (APCs), where required. Role descriptions are available for all staff members positions and is consistent to the staff members qualifications. A sample of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All staff participate in continuing education. The individual records of education are maintained for each staff member sampled. All relevant staff have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to meet the requirements of the provider’s agreement with the DHB.</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roster confirmed adequate staff cover has been provided, with staff replaced in any unplanned absence. At least one staff member on duty has a current first aid certificate and there is 24 hour/seven days a week (24//7) coverage.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care staff, there are sufficient numbers of activities coordinators, cooking, cleaning, laundry administration and maintenance staff to meet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that there was enough staff to provide them or their relative with adequate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notes. This includes interRAI assessment information entered into the Momentum electronic database (refer 1.3.5.2).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are held for the required period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Wensley House’s information pack contains all the information about entry to the service. All enquiries are captured, and records kept. Assessments and entry screening processes are documented and clearly communicated to residents or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evidenced that all entry requirements were conducted within the required time frames. Family/Whanau and residents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carer was observed administering medicines following the required medication protocol guidelines and legislative requirements. Standing orders are used when required in consultation with the CNM and CNL.</w:t>
            </w:r>
          </w:p>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is current and correct. Weekly and six-monthly stock takes are conducted, and all medications are stored appropriately. There was no resident self-administering medicines and a self-administration policy is in place when required. As required (PRN) medications held in stock had expired and outcomes of PRN medicines administered were not documented in the residents’ electronic medication file and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are provided on site by a cook and other kitchen staff. All aspects of food procurement, production, preparation, storage, transportation, delivery and disposal comply with current legislation and guidelines. Labels and dates were on all containers sighted. The kitchen and pantry were regularly maintained to good hygiene standards. Records of food, fridge, freezer temperature monitoring were maintained.</w:t>
            </w:r>
          </w:p>
          <w:p w:rsidR="00EB7645" w:rsidRPr="00BE00C7" w:rsidP="00BE00C7">
            <w:pPr>
              <w:pStyle w:val="OutcomeDescription"/>
              <w:spacing w:before="120" w:after="120"/>
              <w:rPr>
                <w:rFonts w:cs="Arial"/>
                <w:b w:val="0"/>
                <w:lang w:eastAsia="en-NZ"/>
              </w:rPr>
            </w:pPr>
            <w:r w:rsidRPr="00BE00C7">
              <w:rPr>
                <w:rFonts w:cs="Arial"/>
                <w:b w:val="0"/>
                <w:lang w:eastAsia="en-NZ"/>
              </w:rPr>
              <w:t>A dietary profile is completed on admission and updated every six months or earlier if required. Personal food preferences, any special diets and modified texture requirements are catered for. Monthly weights are completed and residents with weight issues are provided with nutritional supplements. All the residents and family interviewed expressed satisfaction with the food provided. However, it was noted that the food service was not registered under the new food control plan, inhouse audits were inconsistently completed and kitchen staff had no food handling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reported that when a consumer is declined entry, family/whanau and are informed of the reason for this and made aware of other options or alternative services available. Any risks are managed accordingly, and the consumer is referred back to the referral agency to ensure that the consumer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frames on admission. Care plans and interRAI assessments are completed refer 1.3.5.2. Assessments and care plans are detailed and are completed in consultation with the family/whanau and other health team members as appropriate. In interviews conducted residents and family/whanau expressed satisfaction with the assessment process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Care plans sampled were integrated and included input from the multidisciplinary team. The residents and family/whanau interviewed confirmed care delivery and support is consistent with their expectations and plan of care. An improvement is required to ensure that care plans reflect outcomes from interRAI assessment tools.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were developed to address the assessed needs and desired goals/outcomes. Significant changes are reported in a timely manner and prescribed orders carried out satisfactorily as confirmed by the GP in the interview conducted. Progress notes are completed on every shift. Monthly observations are completed and are up to date. Clinical supplies are adequate,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The activities programme covers physical, social, recreational, emotional and cultural needs of the residents. Residents are kept informed about daily activities through activity planners posted on notice boards as well as by word of mouth. Activities include individual, group and van outings. The residents were observed to be participating in meaningful activities on the audit days and going offsite with family/whanau and friends. There are planned activities and community connections that are suitable for the residents. Attendance is noted on a daily basis and activities plans are reviewed every six months by the activity’s coordinators in consultation with the CNM and CNL respectively (refer 1.3.5.2). The residents and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at least six monthly and updated when there are any changes. Relatives and staff input are sought in all aspects of care. The evaluations record how the residents are progressing towards meeting their goals and responses to interventions. Short term care plans are developed when needed and signed and closed out when acute problems have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GP confirmed that processes are in place to ensure that all referrals are followed up accordingly. Residents and family/whanau are kept informed of the referrals made by the service. All referrals are facilitated by the nursing staff or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14th May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hazards are minimised in the environment,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rooms with ensuites. Refurbishment has been completed on one of the communal showers and toilet rooms. An area identified for improvement relates to communal showers and the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as confirmed in interview of cleaning staff and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13 March 2019.  A trial evacuation takes place six-monthly with a copy sent to the New Zealand Fire Service, the most recent being in March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residents. Water storage tanks are located around the complex,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many have doors that open onto outside gardens or small patio areas. Heating is provided by ceiling heaters in residents’ rooms and wall heaters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that minimises the risk of infection to residents, staff and visitors by implementing an appropriate infection prevention and control programme. The role of the infection control coordinator is held by the CNM who has access to external specialist advice from the GP practice and DHB infection control specialists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approved and reviewed annually. Infection rates are discussed at monthly staff and quality meetings. Staff are made aware of new infections through daily handovers on each shift and reporting.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residents with infectious conditions when required. Hand sanitisers and gels are available for staff and visitors to use. The GM stated that they reported 11 suspected influenza infections over a period of four months under section 31 to the ministry of health but laboratory samples were negative. Infection control guidelines are adhered to in case of outbreaks.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implementing the infection control programme and the GM indicated there are adequate human, physical, and information resources to implement the programme. Collation, analysis and reporting of infection statistics are completed and discussed at monthly staff and management meetings. The infection control coordinator has access to all relevant resident data to undertake surveillance, internal audits and investigations.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good practice. Staff were observed to be following the infection control policies and procedures.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training content meets best practice and guidelines and a record of attendance is maintained. External contact resources included: GP practice, laboratories and local district health boards. There is an understanding of outbreak management where visitors are warned of any outbreak and advised to stay away until contained. Staff interviewed confirmed an understanding of how to implement infection prevention and control activities into their everyday practice. An improvement is required to ensure the infection control coordinator maintains their knowledge of current practices by attending infection control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is carried out as specified in the infection control programme. The infection control coordinator reviews all reported infections, and these are documented. New infections and any required treatment plans are discussed at handover, to ensure early intervention occurs. Infections are recorded, and this information is collated monthly, reviewed and analysed by the infection control coordinator who will advise staff and management of the outcome.</w:t>
            </w:r>
          </w:p>
          <w:p w:rsidR="00EB7645" w:rsidRPr="00BE00C7" w:rsidP="00BE00C7">
            <w:pPr>
              <w:pStyle w:val="OutcomeDescription"/>
              <w:spacing w:before="120" w:after="120"/>
              <w:rPr>
                <w:rFonts w:cs="Arial"/>
                <w:b w:val="0"/>
                <w:lang w:eastAsia="en-NZ"/>
              </w:rPr>
            </w:pPr>
            <w:r w:rsidRPr="00BE00C7">
              <w:rPr>
                <w:rFonts w:cs="Arial"/>
                <w:b w:val="0"/>
                <w:lang w:eastAsia="en-NZ"/>
              </w:rPr>
              <w:t>Attending GPs are notified if there is any resistance to antimicrobial agents and evidence of GP involvement and laboratory reporting was sighted. Surveillance programme is reviewed during the infection control programme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Wensley House has a philosophy and practice of no restraint. There were no restraints nor enablers in use on the days of the audit. The restraint minimisation and safe practice policy clearly defines the difference between restraint and enablers, and required forms and processes are available if a restraint is required. Staff receive ongoing education in restraint minimisation and challenging behaviour. The CNM is the designated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3"/>
        <w:gridCol w:w="1280"/>
        <w:gridCol w:w="6470"/>
        <w:gridCol w:w="1574"/>
        <w:gridCol w:w="17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have been developed by an aged care consultant external contractor. The policies and procedures have not been adapted to reflect the specific needs of the organisation.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have not been adapted to contain the details specific to Wensley house.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policies and procedures are adapted to contain specific details to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current process or system to ensure all documents are controlled (also refer to 1.2.3.3)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current document control system or authorisation date, authoriser and/or review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 document control system is introduced for all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implemented to ensure that residents receive medicines in a secure and timely manner. Medications are stored in a safe and secure way in the trolley and locked cupboards. Medication reconciliation is conducted by the CNM or CNL when the resident is transferred back to service. All medications are reviewed every three months and as required by the GPs. Allergies are clearly indicated, and photos current for easy identification. An improvement is required to ensure expired PRN medicines held in stock are replaced and returned to the pharmacy and outcomes of PRN medicines administered are documented to monitor effectiveness.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PRN medicines held in stock were expired and not returned to the pharmacy.</w:t>
            </w:r>
          </w:p>
          <w:p w:rsidR="00EB7645" w:rsidRPr="00BE00C7" w:rsidP="00BE00C7">
            <w:pPr>
              <w:pStyle w:val="OutcomeDescription"/>
              <w:spacing w:before="120" w:after="120"/>
              <w:rPr>
                <w:rFonts w:cs="Arial"/>
                <w:b w:val="0"/>
                <w:lang w:eastAsia="en-NZ"/>
              </w:rPr>
            </w:pPr>
            <w:r w:rsidRPr="00BE00C7">
              <w:rPr>
                <w:rFonts w:cs="Arial"/>
                <w:b w:val="0"/>
                <w:lang w:eastAsia="en-NZ"/>
              </w:rPr>
              <w:t>Outcomes of PRN medicines administered were not documented in the residents’ electronic file and/or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medications held in stock are current and not expired.</w:t>
            </w:r>
          </w:p>
          <w:p w:rsidR="00EB7645" w:rsidRPr="00BE00C7" w:rsidP="00BE00C7">
            <w:pPr>
              <w:pStyle w:val="OutcomeDescription"/>
              <w:spacing w:before="120" w:after="120"/>
              <w:rPr>
                <w:rFonts w:cs="Arial"/>
                <w:b w:val="0"/>
                <w:lang w:eastAsia="en-NZ"/>
              </w:rPr>
            </w:pPr>
            <w:r w:rsidRPr="00BE00C7">
              <w:rPr>
                <w:rFonts w:cs="Arial"/>
                <w:b w:val="0"/>
                <w:lang w:eastAsia="en-NZ"/>
              </w:rPr>
              <w:t>Provide evidence that outcomes for PRN medicines are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complies with recognised nutritional good menu planning practices appropriate for older people and follows a summer and winter four-week rotated menu pattern. The menu was reviewed by a registered dietitian in January 2019; however, the food service is still to be registered under the new food control plan, internal audits were inconsistently completed and kitchen staff had no food handling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did not meet current legislative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food service is registered under the new food control plan, internal audits are consistently completed and all staff in the kitchen have food handling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and short- term care plans were detailed, current and covered aspects of service delivery however not all reflected outcomes from interRAI assessment tools.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Both long term and activity care plans did not reflect some outcomes from interRAI assessment tools.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care plans reflect outcomes from interRAI assessment tool.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still uneven wall and floor surfaces making it difficult to clean in the other communal showers and toilets. The laundry has shelves that require action to ensure all services can be easily cleaned.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Work in one of the communal showers has been completed. However, there are still shelves in the laundry and bathroom wall and floor surfaces that require 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laundry shelves and shower areas are repaired to ensure all surfaces meet good infection control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3.4.1</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by a suitably qualified person who maintains their knowledge of current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infection control coordinator and other specialist consultants. The ICC had not attended any infection control training on current practices in the last year.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evidence sighted to confirm infection control coordinator had attended infection control training to maintain knowledge of current practices.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to show that infection control coordinator maintains knowledge of current practice on infection control.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Wensley House</w:t>
    </w:r>
    <w:bookmarkEnd w:id="58"/>
    <w:r>
      <w:rPr>
        <w:rFonts w:cs="Arial"/>
        <w:sz w:val="16"/>
        <w:szCs w:val="20"/>
      </w:rPr>
      <w:tab/>
      <w:t xml:space="preserve">Date of Audit: </w:t>
    </w:r>
    <w:bookmarkStart w:id="59" w:name="AuditStartDate1"/>
    <w:r>
      <w:rPr>
        <w:rFonts w:cs="Arial"/>
        <w:sz w:val="16"/>
        <w:szCs w:val="20"/>
      </w:rPr>
      <w:t>9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