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Holly Lea Village Limited - Holly Lea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Holly Lea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Holly Lea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April 2019</w:t>
      </w:r>
      <w:bookmarkEnd w:id="7"/>
      <w:r w:rsidRPr="009418D4">
        <w:rPr>
          <w:rFonts w:cs="Arial"/>
        </w:rPr>
        <w:tab/>
        <w:t xml:space="preserve">End date: </w:t>
      </w:r>
      <w:bookmarkStart w:id="8" w:name="AuditEndDate"/>
      <w:r w:rsidR="00A4268A">
        <w:rPr>
          <w:rFonts w:cs="Arial"/>
        </w:rPr>
        <w:t>9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Holly Lea is certified to provide rest home and hospital (geriatric) care to up to 21 residents within a 38-apartment complex.  On the day of audit, there were seven rest home residents.  There are no hospital level care residents at Holly Lea.</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policies and procedures, the review of residents and staff files, observations, and interviews with family, management and staff.</w:t>
      </w:r>
    </w:p>
    <w:p w:rsidRPr="00A4268A">
      <w:pPr>
        <w:spacing w:before="240" w:line="276" w:lineRule="auto"/>
        <w:rPr>
          <w:rFonts w:eastAsia="Calibri"/>
        </w:rPr>
      </w:pPr>
      <w:r w:rsidRPr="00A4268A">
        <w:rPr>
          <w:rFonts w:eastAsia="Calibri"/>
        </w:rPr>
        <w:t>The general manager is a registered nurse and is experienced in aged care and management.  The general manager has been in the role for over three years.  She is supported by a clinical nurse manager, registered nurses and care staff.</w:t>
      </w:r>
    </w:p>
    <w:p w:rsidRPr="00A4268A">
      <w:pPr>
        <w:spacing w:before="240" w:line="276" w:lineRule="auto"/>
        <w:rPr>
          <w:rFonts w:eastAsia="Calibri"/>
        </w:rPr>
      </w:pPr>
      <w:r w:rsidRPr="00A4268A">
        <w:rPr>
          <w:rFonts w:eastAsia="Calibri"/>
        </w:rPr>
        <w:t>The operational business plan identifies strategic priorities for 2019 and 2020 and includes organisational culture and business operations.</w:t>
      </w:r>
    </w:p>
    <w:p w:rsidRPr="00A4268A">
      <w:pPr>
        <w:spacing w:before="240" w:line="276" w:lineRule="auto"/>
        <w:rPr>
          <w:rFonts w:eastAsia="Calibri"/>
        </w:rPr>
      </w:pPr>
      <w:r w:rsidRPr="00A4268A">
        <w:rPr>
          <w:rFonts w:eastAsia="Calibri"/>
        </w:rPr>
        <w:t xml:space="preserve">Staff interviewed, and documentation reviewed, identified that the service continues to provide services that are appropriate to meet the needs and interests of the resident group.  Family interviewed all spoke positively about the care and support provided.  </w:t>
      </w:r>
    </w:p>
    <w:p w:rsidRPr="00A4268A">
      <w:pPr>
        <w:spacing w:before="240" w:line="276" w:lineRule="auto"/>
        <w:rPr>
          <w:rFonts w:eastAsia="Calibri"/>
        </w:rPr>
      </w:pPr>
      <w:r w:rsidRPr="00A4268A">
        <w:rPr>
          <w:rFonts w:eastAsia="Calibri"/>
        </w:rPr>
        <w:t>The audit identified that improvements are required around staffing related to hospital level care (noting there are currently no hospital level care residents).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Holly Lea provides care in a way that focuses on the individual resident.  Cultural and spiritual assessment is undertaken on admission and during the review processes.  Policies are implemented to support individual rights.  Information about the Code and related services is readily available to residents and families.  Care plans accommodate the choices of residents and/or their family.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Holly Lea is implementing a quality and risk management system that supports the provision of clinical care.  Quality data is collated for accident/incidents, infection control, internal audits, concerns, complaints, and surveys.  There are human resources policies including recruitment, job descriptions, selection, orientation and staff training and development.  The service has an orientation programme that provides new staff with relevant information for safe work practice.  There is an on-line education programme covering relevant aspects of care and external training is supported.  The staffing policy aligns with contractual requirements and includes appropriate skill mixes to provide safe delivery of care.  Rostered staffing is sufficient to support the care of current rest home level care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is provided to family and residents prior to or on entry to care.  The registered nurses are responsible for each stage of service provision.  The registered nurses complete care planning, assessment and reviews with the resident and/or family input.  Care plans viewed in resident files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medication competent caregivers are responsible for administration of medicines and complete annual education and medication competencies.  The medicine charts reviewed on the electronic medication system met legislative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activities coordinator provides and implements the integrated rest home and serviced apartments activity programme.  The programme includes community visitors and outings, entertainment and activities that meet the preferences of the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Serviced apartments are personalised and have full ensuites.  Documented policies and procedures for the cleaning and on-site laundry services are implemented with appropriate monitoring systems in place to evaluate the effectiveness of these services.  Documented systems are in place for essential, emergency and security services.  There is a registered first aider on each shift.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is practiced and overseen by the clinical manager.  There were no residents using enablers or restraints.  Staff have received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clinical manager is the infection control coordinator with support from the registered nurse.  A suite of infection control policies and guidelines meet infection control standards.  Staff receive annual infection control education.  Surveillance data is collected and collated.  Benchmarking of data occurs.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57"/>
        <w:gridCol w:w="1280"/>
        <w:gridCol w:w="98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Holly Lea has policies and procedures that align with the requirements of the Code of Health and Disability Services Consumer Rights (the Code).  Three caregivers, an activities coordinator and two registered nurses (RNs) were able to describe how they incorporate resident choice into their activities of daily living.  The service actively encourages residents to have choices and this includes voluntary participation in daily activities as confirmed on interview with three rest home residents and four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three healthcare assistants (HCA)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long-term residents under the ARCC had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Health and Disability Services Consumer Rights and advocacy pamphlet on admission.  Interviews with residents and family confirmed they were aware of their right to access advocacy.  Advocacy pamphlets are displayed in the main corridor.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opportunities for the family/EPOA to be involved in decisions.  The resident files sampled included information on the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residents and relatives confirmed that visiting can occur at any time and families are encouraged to be involved with the service and care.  Residents are supported to maintain former activities and interests in the community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guides practice and aligns with Right 10 of the Code.  The manager leads the investigation of concerns/complaints.  Complaints forms are visible and available for relatives.  A complaints procedure is provided within the information pack at entry.  The general manager documents verbal complaints and these are managed as with written complaints.  The clinical manager assists with investigations into complaints that involve resident cares.  The complaints register is up-to-date.  There were five complaints in 2018 and no complaints so far for 2019.  All complaints to date have been responded to and managed appropriately with letters of acknowledgement, investigations, staff meetings and memos and letters of response and outcomes to complainants.  Management operate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and residents are informed of any liability for payment of items not included in the scope of the service.  This is included in the service agreement.  Residents and family members interviewed confirmed they received all the relevant information during admission.  Information on the Code of Rights is printed on the back of the monthly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during the audit.  Family interviewed confirmed staff respect their privacy, and support residents in making choice where able.  Staff have completed education around privacy, dignity and elder protection.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stored securely.  There are clear instructions provided to residents on entry regarding responsibilities of personal belongings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Holly Lea has a Māori health plan and a cultural safety policy that includes a description of how they will achieve the requirements set out in A3.1 (a) to (e).  Residents who identify as Māori have this recorded on file with an individual health care plan tailored to meet Māori cultural requirements.  Linkages with Māori community groups are available and accessed as required.  There are currently no residents who identify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are invited to be involved in care planning and any beliefs or values are further discussed and incorporated into the care plan.  Care plans sampled included the residents’ values, spiritual and cultural beliefs.  Six monthly reviews occur to assess if the resident’s needs are being met.  Discussion with family confirmed values and beliefs are considered.  Residents are supported to attend church services of their choice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Position descriptions include responsibilities of the position and signed copies of all employment documents are included in the nine staff files sampled.  Staff comply with confidentiality and the code of conduct.  The registered nurses and allied health professionals practice within their scope of practice.  Management and staff meetings include discussions on professional boundaries and concerns/complaints as they arise (minutes sighted).  Interviews with the manager, two registered nurses, three care staff and an activities coordinator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Holly Lea policies and procedures meet the health and disability sector standards.  Staff are made aware of new/reviewed policies and sign to indicate they have read them.  An environment of open discussion is promoted.  Staff reported the manager and registered nurses are approachable and supportive.  Allied health professionals are available to provide input into resident care.  Staff complete relevant workplace competencies.  The registered nurses have access to external training.  Discussions with residents and family were positive about the care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to guide staff on the process around open disclosure and for residents who do not have any family to notify.  The general manager, clinical manager and registered nurses confirmed family are kept informed.  Ten incident and accident forms sampled from March 2019 and files reviewed evidenced that this has occurred.  Relatives stated they are notified promptly of any incidents/accidents.  Families receive newsletters that keep them informed on facility matters and events.  Resident/family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Holly Lea provides rest home and hospital (geriatric) care to up to 21 rest home and hospital level care residents within a 38-apartment complex.  On the day of audit, there were seven rest home level residents.  Thirty rooms are occupied by independent residents under an occupational rights agreement.  There were no hospital level and no respite residents.  All rest home residents were under the age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structure includes a board made up of Generus Living Group personnel and previous members of the McLean Institute Trust.  The general manager reports to the Generus Living Group operation manager and the managing director.  The general manager attends monthly executive meetings.  The general manager is a registered nurse (RN) and is experienced in aged care and well qualified with a master’s degree in public health.  The clinical manager has been in her role for three years and has over ten years’ experience in aged care in New Zealand.</w:t>
            </w:r>
          </w:p>
          <w:p w:rsidR="00EB7645" w:rsidRPr="00BE00C7" w:rsidP="00BE00C7">
            <w:pPr>
              <w:pStyle w:val="OutcomeDescription"/>
              <w:spacing w:before="120" w:after="120"/>
              <w:rPr>
                <w:rFonts w:cs="Arial"/>
                <w:b w:val="0"/>
                <w:lang w:eastAsia="en-NZ"/>
              </w:rPr>
            </w:pPr>
            <w:r w:rsidRPr="00BE00C7">
              <w:rPr>
                <w:rFonts w:cs="Arial"/>
                <w:b w:val="0"/>
                <w:lang w:eastAsia="en-NZ"/>
              </w:rPr>
              <w:t>The operational 2019 business plan includes identification of strengths, weaknesses opportunities and treats, key staff and responsibilities, future objectives and strategies.  Quality objectives for 2019 are based on achievements from the previous year and planned areas of improvement focused on improved key performance indicators and increased consumer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clinical manager have maintained at least eight hours of professional development in relation to management of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provides cover in the absence of the manager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Holly Lea Retirement Village is implementing a quality and risk management system.  The quality programme is reviewed annually and at three monthly combined quality and staff meetings.  The organisation also holds two monthly quality and risk management meetings where the organisational goals and plans are reviewed.  Goals and objectives for 2018 have been completed and goals for 2019 have been documented.  The performance of the organisation continues to be monitored through the annual audit plan, policy and procedure review, family surveys, resident/family meetings, staff meetings, incident/accident review, complaints management, the quality management programme, staff appraisals and orientation, and the quality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Documents no longer relevant to the service are removed and archived.  Staff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quality and risk management meeting minutes sighted, evidenced staff discussion around accident/incident data, health and safety, infection control, audit outcomes, concerns and survey feedback.  Monthly comparisons, trends and graphs are displayed for staff information.  The registered nurse and HCAs interviewed were aware of quality data results, trends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are conducted with excellent results achieved in all areas for 2019.  Results have been collated and are fed back to participants and staff as evidenced in meeting minutes.  Resident meetings are held monthly and provide opportunity for feedback and suggestions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covers all aspects of the service.  Any areas for improvement are identified and implemented.  A summary of internal audit outcomes is provided to the staff meetings for discussion.  Corrective actions are developed, implemented and signed off.  Reviews and audits are conducted more frequently where issues are identified.  Management has instigated a process of review of corrective actions to ensure that changes have been imbedded in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 forms for the month of February and March 2019 were sampled.  There has been RN notification and clinical assessment completed within a timely manner in the sample of reports reviewed.  Accidents/incidents were also recorded in the resident progress notes.  Neurological observations are recorded for all unwitnessed falls, however not all observations were completed as per protocol.  Prior to the audit this was identified by management.  It was noted that observations were commenced but were not completed for the duration stipulated in their policies.  Corrective actions were put in place with staff training.  Meetings with staff to discuss the risks and dangers if those observations are not completed for the full duration as per policy were completed.  Subsequent neurological observations have been completed correctly.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events noted in residents’ files have been reported via the incident and accident reporting process.  The service reports aggregated figures to the joint staff and quality and risk management meeting.  Staff interviewed confirmed incident and accident data are discussed at the staff meeting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confirmed an awareness of the requirement to notify relevant authorities in relation to essential notifications.  There have been no required notifications under the current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Policy requires that relevant checks be completed to validate the individual’s qualifications, experience and veracity.  Current practising certificates were sighted for the registered nurses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orientation, staff training and development.  Six staff files sampled (clinical manager, one registered nurse, two healthcare assistants, one activities coordinator and one head chef) contained all relevant employment documentation including annual appraisals.  Holly Lea has a comprehensive orientation programme in place that provides new staff with relevant information for safe work practice.  Staff interviewed advised that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An education planner covers compulsory education requirements over a two-year period.  The RNs have completed interRAI training.  Clinical staff complete competencies relevant to their role.  The general manager is also a Careerforce assessor and actively encourages staff attainment of qualifications.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general manager and clinical manager work Monday to Friday and provide after hours on call support on a rotational basis.  The roster is covered by a registered nurse on morning and afternoon shifts Monday to Sunday.  On morning shift the RN is supported by three healthcare assistants (two full and one part shift).  The afternoon RN is supported by two healthcare assistants (one full shift and one part).  There are two senior healthcare assistants rostered on night shift.  Family interviewed informed there are sufficient staff on duty at all times for the current rest home residents.  The service is certified for hospital level care, however there are no current hospital residents and staffing does not meet hospital level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were legible, dated and signed by the relevant HCA or registered nurse including designation.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entry into the service and this is facilitated in a competent, timely and respectful manner.  Admission information packs on the service are provided for families and residents prior to admission or on entry to the service.  All admission agreements reviewed (for long-term residents) aligned with all contractual requirements.  Exclusions from the service are included in the admission agreement.  Residents also have an occupation right agreement on purchase of their unit.  Families interviewed agreed that admission to services was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have been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HCAs who administer medications complete annual medication competencies.  Annual in-service education on medication is provided.  The medication storage area is secure.  Medications (blister packs) are checked on delivery against the medication chart and any discrepancies fed back to the pharmacy.  The blister pack is signed by the RN to verify reconciliation of medications.  The standing orders prescribed meet the requirements and are reviewed annually by the two GPs.  There were no self-medicating residents.  The medication fridge is monitored.  Eye drops had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on the electronic medication system (implemented November 2018).  All medication charts had photo identification and an allergy status.  The GP reviews the medication charts at least three monthly.  The administration signing sheets reviewed identified medications had been administered as prescribed.  Medication administration observed, evidenced practices comply with policy and legislation.  The effectiveness of ‘as required’ medications is documented in the progress notes and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in a modern kitchen adjacent to the dining room and meals are plated and served directly to the residents.  Meals delivered to serviced apartments are delivered with lids to maintain an acceptable temperature.  There is a four weekly menu that has been reviewed by a dietitian.  The head chef is supported by a sous chef and morning and afternoon kitchenhands.  All staff have completed food safety training.  The menu offers two main options and a vegetarian option for the midday and evening meal.  The main meal is in the evening.  Two dessert options are provided.  Customised meals are provided for any special diets or dislikes.  Modified textured meals are provided as assessed by the RN or nurse specialist/speech language therapist.  The head chef receives dietary profiles for all residents and is notified of any dietary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and expires 22 June 2019.  The head chef completes a computerised daily food control plan monitoring form for fridge and freezer temperatures, end cooked foods, serving and re-heating temperatures and cleaning duties.  All containers of food stored in the pantry are labelled and dated.  All perishable goods in the fridge and chiller are date labelled.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receive feedback from residents through meetings and direct input from residents.  Residents interviewed were very satisfied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The reasons for declining entry would be if the service is unable to provide the level of care required.  The service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RN completes a comprehensive initial assessment and care plan on admission, including relevant risk assessment tools.  Risk assessments are completed six-monthly with the interRAI assessment or earlier due to health changes.  InterRAI assessments reviewed were completed within 21 days of admission and at least six-monthly thereafter.  Information gathered on admission which forms the basis of the initial assessment includes medical history, discharge summaries, allied health notes and consultation with the resident and or/family and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resident care plans goals, support needs and interventions for all daily activities of living and care needs are in place.  The care plans were resident focused.  Care plans had been updated to reflect changes in health status.  A paper-based daily care summary is available to care staff and updated with changes and reviewed six monthly in conjunction with the care plan evaluation.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evidenced resident and/or family involvement in the care plan process.  Resident files demonstrated service integration.  There was evidence of allied health care professionals involved in the care of the resident including physiotherapist, dietitian, older persons health service, Nurse Maude services and speech language 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 with staff and observation, evidenced that service interventions were caring and supportive.  When a resident's condition alters, a registered nurse initiates a review and if required, GP or nurse specialist consultation.  There is documented evidence on the family/whānau//resident representative form in each resident file that indicates family were notified of any changes to their relative’s health including infections, incidents, GP visits, medication changes and multidisciplinary (MDT) care plan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nurses’ station.  Wound management policies and procedures are in place.  There were no rest home residents with wounds.  The service uses the wound specialist at Nurse Maude for advice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Monitoring forms are used for weight, vital signs, blood sugar levels, pain, challenging behaviour, food and fluid charts.  All monitoring is recorded through the electronic medication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who is a qualified HCA and is currently progressing through diversional Careerforce qualifications and has a current first aid certificate.  The activity coordinator works a full day on Monday, Wednesday and Thursday and half days on Tuesday and Fridays.  There is an integrated rest home/serviced apartment programme which is planned a month in advance.  Residents receive a copy of the programme which has details of upcoming events, speakers, entertainment, outings printed on the back.  Rest home residents choose to participate in activities and assisted to attend as desired.  Resident “officers” liaise with management on preferred/suggested activities.  The activities offered include seated exercises, weekly current events, board games, happy hour and “back in time” sessions, walking group, one on one time and movies.  Residents may attend the gym sessions twice weekly with the personal trainer.  There are van outings for shopping, mystery drives and planned outings into the community such as attending the Canterbury Club, Probus, bridge clubs etc.  There are regular speakers and entertainers.  Holy Communion is held on site, and residents are supported to attend churches of their choice.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recreational and cultural assessment is completed on admission.  Individual activity plans were seen in rest home resident files.  They are evaluated six monthly in conjunction with the six-monthly care plan evaluation.  The service receives feedback and suggestions for the programme through monthly resident “catch ups” and direct feedback from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positive feedback from residents interviewed about the activities programme which they have input into.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Long-term care plans have been evaluated by an RN six monthly using the interRAI tool or earlier for any health changes for files reviewed.  There are six-monthly written evaluation notes that record if the resident goals have been met or unmet.  The RN, an HCA, activity coordinator, resident and/or relative are involved in the six monthly MDT.  The GP reviews the residents at least three-monthly or earlier if required.  Ongoing nursing evaluations occur as indicated and are documented within the progress notes or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The GP notes evidenced discussion of referral options (public or private appointments) with residents/relatives.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and products charts are readily accessible for staff.  Chemical bottles sighted have correct manufacturer labels.  Chemicals are pre-mixed.  Chemicals are stored in a locked cupboard.  Personal protective clothing is available for staff and was observed being worn by staff when they were carrying out their duties on the day of audit.  Relevant staff have completed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November 2019.  The building is two levels with 15 serviced apartments on the ground floor and 23 on the first floor.  There is a central staircase and three lifts between the floors.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maintenance person is employed for 25 hours per week from Monday to Thursday.  Maintenance requests are completed for repair relating to resident equipment/rooms or building requests and recorded in the electronic system.  There is a planned maintenance plan that occurs on a daily, monthly or annual basis including electrical testing and tagging and hot water temperatures monitoring.  Essential contractors are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large and well maintained landscaped ground and gardens and courtyards.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interviewed stated they have sufficient equipment including mobility aids, wheelchairs and pressure injury resources (if required) to safely deliver this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have spacious ensuites.  Fittings and fixtures are modern and made of materials for ease of cleaning.  There are toilets with privacy locks near the communal areas.  Rest home residents confirmed that staff respect their privacy while attending to their hygiene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adequate room for residents to safely manoeuvre using mobility aids.  Residents and families are encouraged to personalise their rooms as viewed on the day of audit.  New carpets and refurbishment was observed to be implemented as planned by the new owner.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home has large spacious communal areas with boutique décor and designer lighting that reflects the use of the area.  Communal areas include the dining room, Heritage lounge and library, music and entertainment room, activities room with pool table that opens out onto courtyards, café for all resident and family to use, a lounge that opens out onto gardens and a computer room/reading/library room.  There is a salon room used by a hairdresser, beautician and podiatrist.  The gym is available to independent residents any time; however, rest home residents can attend gym sessions twice weekly with the personal trainer.  There is a movie theatre currently under construction.   Communal areas are easily accessible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provide guidelines regarding the safe and efficient use of laundry services on-site.  All towels, sheets and bedding are sent off-site for laundering.  Laundering of personal clothing is completed by HCAs in the resident serviced apartment or may be laundered in the laundry rooms, one on each level).  There are designated clean/dirty areas within the two laundry areas.  There is a clean folding room and night staff complete ironing as required.  Clean linen is ordered as required.  There were sufficient linen supplies in the linen room.  There are designated housekeeping staff on duty Monday to Friday.  The housekeeping trollies are kept in locked cleaning cupboards when not in use.  The effectiveness of the cleaning and laundry processes are monitored through internal audits, resident meetings and surveys.  Residents and relatives interviewed were satisfied with the laundry service and cleanliness of the communal areas and their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fire and emergency procedures and an approved fire evacuation scheme.  Emergency management training is provided to all staff during orientation and induction and as part of their ongoing training programme.  Training includes fire drills and emergency evacuation drills that have been provided on a six monthly basis.  There is a minimum of one staff member with a first aid certificate on each shift.  There is a call bell system in place.  Emergency lighting is installed.  Staff conduct checks of the building in the evenings to ensure the facility is safe and secure.  The basement car park is secured by a locked gate.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civil defence supplies and equipment kept in a central location.  The civil defence kits are checked monthly and include torches, radio and batteries.  There is electric and gas cooking in the kitchen and barbeques and gas bottles for alternative cooking.  Emergency food and water supplies are maintained and are sufficient for at least three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is underfloor heating throughout the building.  There is underfloor and ceiling heating in the serviced apartments that can be adjusted by the resident or operated though the computer based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Holly Lea has an established infection control (IC) programme.  The infection control programme is appropriate for the size, complexity and degree of risk associated with the service and has been linked into the incident reporting system.  The clinical manager is the designated infection control nurse with support from the general manager, registered nurses and healthcare assistants.  The infection control programme was linked into the quality management system.  The infection control meetings are combined with staff meetings.  The facility had developed links with the GPs, local laboratory, the infection control and public health departments at the local DHB.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Holly Lea.  The infection control (IC) nurse has maintained practice by attending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wall mounted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Holly Lea implements an infection control programme provided by an external contractor.  The infection control manual outlines a comprehensive range of policies, standards and guidelines and includes roles, responsibilities, procedures, the infection control team and training and education of staff.  The policies are reviewed and updated at least two yearly.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The infection control nurse with support from the registered nurses and external speakers facilitates education.  All infection control training has been documented and a record of attendance has been maintained.  The infection control nurse advised that visitors would be notified of any outbreaks and advised not to attend until the outbreak had been resolved.  Information was provided to residents and visitors that are appropriate to their needs and this was documented in medical records.  Education around infection prevention and control has been provided in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care methodology for monitoring of infections.  Definitions of infections are in place appropriate to the complexity of service provided.  The infection control nurse collects the infection rates each month, identifies trends and uses the information to initiate quality activities within the facility, including training needs.  Monthly infection data is collected for all infections based on signs and symptoms of infection.  Individual resident infection forms are completed which includes signs and symptoms of infection, treatment, follow-up, review and resolution.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Holly Lea has implemented an antibiotic stewardship process to ensure optimal antibiotic prescribing and limit abuse and overuse in the aged care environment.  All infections are documented on an SBAR communication tool providing comprehensive information for management and general practitioners.  Monitoring and effectiveness of prescribing use and resistance is documented and tracked.  Surveillance of all infections is entered into a monthly facility infection summary and staff were informed.  The data has been monitored and evaluated monthly and annually.  Healthcare assistants interviewed were aware of infection rates.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Holly Lea is committed to minimising restraint.  There are clear guidelines in the policy to determine what restraint is and what an enabler is.  The restraint policy includes comprehensive restraint procedures.  Staff have received training in challenging behaviour and the safe use of restraint.  On interview, staff were knowledgeable on the difference between restraint and enablers and confirmed the services commitment to restraint minimisation.  The clinical manager is the restraint coordinator and is responsible to oversee restraint use.  There are currently no residents requiring restraint and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1"/>
        <w:gridCol w:w="1280"/>
        <w:gridCol w:w="4422"/>
        <w:gridCol w:w="3445"/>
        <w:gridCol w:w="21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Holly Lea rosters reflect all current requirements are being met.  The service is certified for hospital level care but there are currently no hospital level care residents in residence.  Rosters do not reflect sufficient staffing of registered nurses or care staff to meet hospital level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not rostered on night shifts as required for hospital level care.  However, while the service is certified to provide hospital level care, there are currently no hospital level care residents at Holly Lea.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are enough registered nurses and care staff rostered to meet hospital level care prior to hospital level care occupancy.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Holly Lea Village Limited - Holly Lea</w:t>
    </w:r>
    <w:bookmarkEnd w:id="58"/>
    <w:r>
      <w:rPr>
        <w:rFonts w:cs="Arial"/>
        <w:sz w:val="16"/>
        <w:szCs w:val="20"/>
      </w:rPr>
      <w:tab/>
      <w:t xml:space="preserve">Date of Audit: </w:t>
    </w:r>
    <w:bookmarkStart w:id="59" w:name="AuditStartDate1"/>
    <w:r>
      <w:rPr>
        <w:rFonts w:cs="Arial"/>
        <w:sz w:val="16"/>
        <w:szCs w:val="20"/>
      </w:rPr>
      <w:t>8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