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Amberlea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April 2019</w:t>
      </w:r>
      <w:bookmarkEnd w:id="7"/>
      <w:r w:rsidRPr="009418D4">
        <w:rPr>
          <w:rFonts w:cs="Arial"/>
        </w:rPr>
        <w:tab/>
        <w:t xml:space="preserve">End date: </w:t>
      </w:r>
      <w:bookmarkStart w:id="8" w:name="AuditEndDate"/>
      <w:r w:rsidR="00A4268A">
        <w:rPr>
          <w:rFonts w:cs="Arial"/>
        </w:rPr>
        <w:t>18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Amberlea is owned and operated by the CHT Healthcare Trust.  The service provides cares for up to 70 residents requiring hospital and rest home level care.  On the day of the audit, there were 59 residents.  The service is overseen by a unit manager, who is a registered nurse and well qualified and experienced for the role and is supported by the area manager.  Residents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 xml:space="preserve">This audit has identified improvements are required around aspects of medication management and care plan evaluations.  The service is commended for initiatives in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endeavours to provide care in a way that focuses on the individual residents' quality of life.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implements the organisational quality and risk management system that supports the provision of clinical care.  Key components of the quality management system link to focus group meetings that include discussion of all aspects of the quality programme.  An annual resident/relative satisfaction survey is completed and both this, and interviews with residents and family, confirmed satisfaction with the service.  Quality and risk performance is reported to the area manager and to the management team at head office.  </w:t>
      </w:r>
    </w:p>
    <w:p w:rsidRPr="00A4268A">
      <w:pPr>
        <w:spacing w:before="240" w:line="276" w:lineRule="auto"/>
        <w:rPr>
          <w:rFonts w:eastAsia="Calibri"/>
        </w:rPr>
      </w:pPr>
      <w:r w:rsidRPr="00A4268A">
        <w:rPr>
          <w:rFonts w:eastAsia="Calibri"/>
        </w:rPr>
        <w:t xml:space="preserve">There are human resources policies to guide practice and an orientation programme that provides new staff with relevant information for safe work practice.  There is an in-service training programme covering relevant aspects of care.  </w:t>
      </w:r>
    </w:p>
    <w:p w:rsidRPr="00A4268A">
      <w:pPr>
        <w:spacing w:before="240" w:line="276" w:lineRule="auto"/>
        <w:rPr>
          <w:rFonts w:eastAsia="Calibri"/>
        </w:rPr>
      </w:pPr>
      <w:r w:rsidRPr="00A4268A">
        <w:rPr>
          <w:rFonts w:eastAsia="Calibri"/>
        </w:rPr>
        <w:t xml:space="preserve">The organisational staffing policy aligns with contractual requirements and includes skill mixes.  The unit manager is supported by the area manager, an acting clinical coordinator, registered nurses and health care staff.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unit manager takes primary responsibility for managing entry to the service with assistance from the registered nurses.  Comprehensive service information is available.  A registered nurse completes initial assessments, including interRAI assessments.  The registered nurses complete care plans and long-term care plan evaluations within the required timeframes.  Care plans are based on the interRAI outcomes and other assessments.  They are clearly documented,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by a contracted agency under the direction of a dietitian.  The menu is varied and appropriate.  Individual and special dietary needs are catered for.  Residents interviewed were satisfied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all have their own toilet and hand basin and some with full ensuites.  There are adequate numbers of communal toilets and showers.  There is sufficient space to allow the movement of residents around the facility using mobility aids.  There are communal lounges and dining areas in each of the three wings.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 xml:space="preserve">Emergency systems and equipment are in place in the event of a fire or external disaster.  There is always a first aider on duty.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Amberlea Hospital and Rest Home has restraint minimisation and safe practice policies and procedures in place.  Staff receive training in restraint minimisation and challenging behaviour management.  On the day of audit, there was one resident using a lap belt for safety, identified as a restraint, and no residents with an enabler.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documented to minimise the risk of infection to residents, staff and visitors.  The infection control programme is implemented as per policy.  The infection control officer (registered nurse) uses the data and information including results of audits of the facility, hand hygiene and surveillance of infection control events to determine infection control activities, resources and education needs.  Staff receive ongoing training in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2"/>
        <w:gridCol w:w="1280"/>
        <w:gridCol w:w="9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five registered nurses (RN), one activities coordinator, one acting clinical coordinator, one area manager and one-unit manager) confirmed their familiarity with the Code.  Interviews with eight residents, (five rest home and three hospital, including one using interim care funding), and five families (two hospital and three rest home) confirmed the services being provided are in line with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discussed at the resident meetings with the Health and Disability advocate providing training to staff around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Eight resident files sampled (five hospital including one on an interim care contract and three rest home) demonstrated that advanced directives are signed for separately.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eight resident files sampled had a signed admission agreement, signed either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advocate from the Nationwide Advocacy service visits the service once or twice a year to provide training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The service aids ensure that the residents can participate in as much as they desire and can safely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at regular intervals.  Family are encouraged to discuss any issues with the registered nurses, acting clinical coordinator or the unit manager who has an open-door policy.  Family interviewed, confirmed that they do discuss any issues with managers 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unit manager has overall responsibility for managing the complaints process at the service.  A record of all complaints is maintained on VCare (electronic register) and in a hard copy manual.  The register includes relevant information regarding the complaint, including date of resolution.  Verbal complaints are included, and actions and response are documented.  Complaints are reported to head office and discussed monthly.  The area manager also stated that they are aware of any complaints as these arrive, and are actively engaged in any complaints that may come from an external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also around the facility on noticeboards.  There is a ‘post box’ at reception where complaints can be posted with this cleared daily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and relatives confirmed they were provided with information on the complaint process.  Complaint forms were visible for residents/relatives in various places around the facility.  There has been one complaint from an external authority since the last audit.  The Ministry of Health requested follow-up of aspects of a complaint related to transfer of care.  There were no identified corrective actions related to this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Health and Disability Commissioner's (HDC) Code of Health and Disability Services Consumers' Rights (the Code) on display in the facility and leaflets are available in the foyer.  The service can provide information in different languages and/or in large print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and to the resident on admission to the service.  The unit manager confirmed that they discuss the information pack with the resident and the family/whānau as part of the entry process.  The information pack includes a copy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resident meetings are an opportunity for residents to discuss application of the Code and for staff to confirm access to advocacy services.  Residents and relatives interviewed confirmed information has been provided around the Code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Church services are conducted in the facility two weekly with the activities programme.  The chaplain interviewed, confirmed that any resident or family member was able to attend the services.  All residents interviewed indicated that residents’ spiritual needs are being met when required, either through the church service offered, by attending community services and/or through the ‘soup for the soul’ messages provided through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around recognising abuse and neglect and staff interviewed were conversant around this.  There have been no reported incidents of abuse or neglect.  The general practitioner, chaplain and care staff interviewed confirmed that there was no evidence of any abuse or neglect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continue to be a part of the community and engage in activities in the community whenever possible.  They also encourage family and visitors into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who identify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confirmed that they are aware of the need to respond to cultural differences.  The care staff interviewed reported that they value and encourage active participation and input from the family/whānau in the day-to-day care of the resident.  Staff interviewed could describe how they supported a resident who identified as Māori in the past and described asking family and the resident what cultural cares and activities they would like.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Visiting is encouraged and staff can describe the importance of family for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kaumātua and the kuia through the district health board if they require extra support, although the unit manager stated that family would normally be the ones who would provide on-site support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ensuring it understands each resident's preferences and where appropriate their family/whānau.  Values and beliefs have been discussed at the initial assessment and care planning meeting and then incorporated into the care plan.  Six monthly care planning meetings are scheduled to assess if needs are being met.  Family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informed values and beliefs are considered.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residents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have not experienced any discrimination, coercion, bullying, sexual harassment or financial exploitation.  Professional boundaries are reconfirmed through education and training sessions and staff meetings, and the unit manager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The area manager and unit manager work closely together to achieve objectives and to improve the service.  Improvements that enhance the lives of residents and support staff development have been introduced, including the introduction of an on-line training programme; the implementation of Qlik which allows the unit manager to access real time data that can be used in improving the quality of the service; a change to providing a bedside handover with the incoming and outgoing registered nurses; improvements made to the activity programme and the introduction of focus group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relatives and the general practitioner interviewed were satisfied overall with the service provided, although there were some comments made for improvements.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Documentation of accidents, incidents and complaints; and the policy and process around open disclosure alerts staff to their responsibility to notify family/next of kin of any accident/incident and to ensure that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incidents/accidents forms were reviewed.  The forms included a section to record family notification.  All forms confirmed that family were informed of any incident.  Residents and family members interviewed confirmed that relatives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circulates seasonal newsletters to residents and family, and family members are sent the meeting minutes of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welcome pack is provided to potential residents and family on entry to the service or when there are enquiries into the service.  Residents and family interviewed stated that this was useful.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with English as a second language.  There are staff on site who can speak other languages and those interviewed stated that they would communicate with a resident in their language if they could.  Staff can access interpreting services if required through a nationwide interpreting service or through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Amberlea Hospital and Rest Home is owned and operated by the CHT Healthcare Trust.  The service provides hospital, medical and rest home level care for up to 70 residents.  On the day of the audit, there were 59 residents.  This includes 23 residents requiring rest home level care and 36 residents requiring hospital level care (including one using interim care funding).  All residents except one are under the age related residential care contract.  All rooms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who maintains an annual practicing certificate.  The unit manager has been in the role for two years with 15 years’ experience in aged care.  The unit coordinator is supported by the area manager who is a registered nurse, and has extensive experience in management and nursing, including intensive care nursing, duty care manager at a district health board and manager in aged care.  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acting clinical coordinator who has been in the role for three months since the previous clinical coordinator left, and has been in the service as a registered nurse for just over three years.  The unit manager reports to the area manager two weekly or as required, on a variety of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and Amberlea Hospital and Rest Home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unit manager, the area manager is in charge with support from the senior management team, the clinical coordinator and care staff.  Currently a registered nurse has been put in place as acting clinical coordinator with support from the unit manager in the absence of the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advised that they are responsible for providing oversight of the quality programme.  There is an organisational business plan/unit manager performance plan, 1 April 2019 to 31 March 2020 that cascades from the strategic plan.  This includes key performance indicators, goals, actions, timeframes and accountabilities.  A review of the previous plan was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with input from facility staff every two years.  New/updated policies are sent from head office, with a draft policy including interRAI assessment requirements.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includes an annual internal audit schedule that is being implemented.  Audit summaries and corrective action plans are documented where a non-compliance is identified.  Issues and outcomes are reported through the focus group meetings and staff meetings.  Corrective action plans reviewed showed documentation of resolution of issues with these closed out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held prior to October 2018 have been changed to enhance attendance and to allow a focus on key issues.  The focus group representation includes the unit manager, acting clinical coordinator, registered nurses and senior healthcare assistants.  This focuses on clinical areas such as weight loss, and key operational and staffing issues such as health and safety and quality improvement activities.  The focus group meetings are held prior to the staff meeting with a summary of discussion from each area presented at the staff meeting for discussion.  All aspects of the quality and risk management programme are included in both the focus group and staff meetings.   These meetings also serve as forums to review progress towards goals.  Resident meetings are held quarterly and there are opportunities for relatives to have input into the service through the open-door policy of the unit manager and through the annual resident and relative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satisfaction survey completed in 2018, showed improved satisfaction since the last survey related to activities, housekeeping, laundry, maintenance and food services.  The average rating (using a 1 to 5-point Likert scale where 5 is best) is 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focus group meetings include a review of falls and actions to improve any areas identified.  The service collects information on resident incidents and accidents as well as staff incidents/accidents and provides follow-up where required.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manager and clinical coordinator investigate accidents and near misses and analysis of incident trends occurs.  A registered nurse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 forms sampled from December 2018, included appropriate follow-up by a registered nurse and investigation of incidents to identify areas to minimise the risk of recurrence.  Monthly analysis of incidents by type has been undertaken by the service and reported to the focus group and staff meetings.  Corrective action plans are completed when the number of incidents has exceeded the benchmark with these signed off when strategies and actions have been implemented.  Neurological observations are completed as per policy for any resident with a fall involving a head injury or for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management are aware of the requirement to notify relevant authorities in relation to essential notifications.  Section 31 notifications have been made for relevant issues with the Ministry of Health notified of any pressure injuries or other key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skills.  A copy of practising certificates is kept for staff and external health providers, with all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(the acting clinical coordinator, three registered nurses, two activities coordinators, two healthcare assistants) and included all appropriate documentation.  Healthcare assistant staffing levels are stable.  There is now a full complement of registered nurses, however most left in the first half of 2018 and six of the eight registered nurses in the service are in the CAP year.  These six registered nurses have all had nursing experience for over five years in their country of origin mostly in the emergency departments.  Two registered nurses have two or three years of experience in aged care nursing.  One is taking on the acting clinical coordinator role while recruitment of a clinical coordinator takes place.  A section 31 was sent to the Ministry of Health to inform them of two shifts in February when a registered nurse was not able to be replaced.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New staff interviewed stated that they had an in-depth orientation programme that included reading of policies and a buddy system that was in place for at least three weeks.  Annual appraisals are conducted for all staff with these completed in the past year for 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completed in-service calendar for 2018 and 2019 which exceeded eight hours annually for staff who attended the 2018 training offered.  The service has changed to an on-line training programme that has increased attendance to 100% for topics identified by the unit manager as requiring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have completed either the national certificate in care of the elderly or have completed or commenced the Careerforce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46 staff employed at the service including 34 healthcare assistants; eight registered nurses two activities staff; two reception staff.  Laundry, kitchen and household services are outsourced.  The unit manager and all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A review of rosters (February 2019 to current) confirmed that there are sufficient staff rostered and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across the dual-purpose beds is designated to specific wings (noting that this is adjusted for acuity and resident numbers).  Staff allocated to wing/s on level three on morning and afternoon shifts are as follows: Omaha (14 residents- 8 rest home, 6 hospital) – one healthcare assistant on each shift; Brick and Scandrett (15 residents- 8 rest home, 7 hospital) – two healthcare assistants on the morning and one on the afternoon shift; Kawau and Martins (16 residents - 7 rest home, 9 hospital) – two healthcare assistants on the morning and two on the afternoon shift.  Staff allocated to wing/s on level two on morning and afternoon shifts are as follows: Algies and Caulum (14 hospital residents) –two HCAs working a full shift one morning and afternoon plus a five hour floating shift to assist as needed during the morning and evening.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Overnight, there are three healthcare assistants and one registered nurse, with one healthcare assistant based in the downstairs level two area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registered nurses in the morning (two full shift and one from 7.00 am to 12.00 pm) and two on the afternoon shift.  The unit manager is a registered nurse and they provided support for the registered nurses as well as providing operational management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on-call process for after hours and staff are aware of how to escalate any concerns.  Currently the unit manager is on call, however normally the clinical coordinator also takes part in the roster of on 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unit manager screens all potential residents prior to entry and records all admission enquires in a hard copy system.  Residents and relatives interviewed confirmed they received information prior to admission and had the opportunity to discuss the admission agreement with the manager and clinical coordinator.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in one of two medication rooms.  The medications rooms are secured by a keypad in the main medication room and a key lock downstairs.  Medicines are not always appropriately stored in accordance with relevant guidelines.  Medication fridge temperatures are checked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 sighted.  Medication prescribed is signed as administered on the electronic signing charts or on a pharmacy generated signing chart for short-term residents.  Registered nurses and senior healthcare assistants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document medications on the electronic medication charts correctly and there was evidence of three monthly reviews by the GP.  Two residents administer their own medicines and medications are stored in locked draws in the resident’s room.  Administration records reflect the self-medication.  A three-monthly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A food control plan has been verified and expires in April 2020.  A food services manual is in place to guide staff.  The kitchen staff have completed food safety training.  The contracted dietitian, in consultation with the CHT dietitian reviewed the menu in September 2018.  The temperatures of refrigerators, freezers and cooked foods are monitored and recorded.  There is special equipment available for residents if required.  All food is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nutritional profile is developed for each resident on admission and is provided to the kitchen staff.  This document is reviewed at least six monthly as part of the care plan review.  The kitchen is able to meet the needs of residents who require special diets and the kitchen manager works closely with the RNs on duty.  Special diets include gluten free and REAP fortified foods.  The kitchen manager (interviewed) was able to describe alternative meals offered for residents with dislikes.  Meals are plated from the bain marie in the main kitchen and delivered in hot boxes to the dining/kitchenette area in each of the three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were mostly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InterRAI assessments have been completed at least six monthly for all residents.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each shift at handover.  If external nursing or allied health advice is required, the RNs will initiate a referral (eg, to the district nurse [hospice nurse] or the wound specialist).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six wounds, which includes one resident with a complex skin tear.  All wounds have been reviewed in appropriate timeframes.  The RNs have access to specialist nursing wound care management advice through the district nursing service (link 1.3.3).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demonstrate interventions to meet residents’ needs.  There was evidence of pressure injury prevention interventions such as two 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are employed to operate the activities programme for all residents.  The programme operates five days a week.  Each resident has an individual activities assessment on admission, which is incorporated into the interRAI assessment process.  An individual activities plan is developed for each resident by the registered nurses in consultation with the activities coordinators.  Each resident is free to choose if they wish to participate in the group activities programme or their individual plan.  Participation is monitored.  Group activities reflect ordinary patterns of life and include at least weekly planned visits to the community.  All long-term resident files sampled have a recent activities plan within the care plan and this is appraised at least six monthly when the care plan is evaluated or a further interRAI assessment occurs.  The activities programme provides opportunities for residents to share with the community.  Recent initiatives have resulted in areas where Amberlea has exceeded the standard.  Residents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is a change in health status.  There was at least a three-monthly review by the GP.  All changes in health status were documented and followed up.  The RN completing the plan signs care plan reviews.  Short-term care plans sighted were not always evaluated or documented as resolved or transferred to the long-term care plan.  However, if the problem is ongoing, files demonstrated the service responds by initiating changes to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27 May 2019.  Amberlea is a two-level building with lift access.  There is a maintenance person employed to address the reactive and planned maintenance programme.  Essential contractors are available 24 hours.  All medical and electrical equipment has been serviced and/or calibrated.  Hot water temperatures are monitored and managed within 43-45 degrees Celsius.  The maintenance officer interviewed described the process, should temperatures be above 45 degrees.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including decks that have seating and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rooms on the first floor have toilets and basins.  All ground floor rooms have full ensuites.  There are adequate numbers of shared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a large open plan lounge and dining/kitchenette area in each wing.  All communal areas have large windows overlooking sea views.  The communal areas are large enough to cater for activities.  Each wing has a smaller dining/lounge area with functional kitchenette.  The upstairs and downstairs lounges are used for activities.  Several seating alcoves and lounges provide residents with a relaxing view of the bay.  Residents commented positively on the environment.  Communal rooms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Contracted laundry staff complete all laundry off site.  There is a small on-site laundry for personal items such as hip protectors.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was reviewed and approved by the fire service 31 January 2014, following building alterations.  There are emergency management plans in place to ensure health, civil defence and other emergencies are included.  Six monthly fire evacuation practice documentation was sighted last February 2016.  Fire training and security situations are part of orientation of new staff and include competency assessments.  There are adequate supplies in the event of a civil defence emergency including food, water and gas cooking (two barbeques).  A generator is supplied through a contracted service when required.  A minimum of one person trained in first aid and cardiopulmonary resuscitation (CPR)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bathrooms/toilets and lounge/dining room areas.  Residents were observed to have their call bells in close proximity.  The call bells are connected to walkie-talkies that staff carry.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 afterhours with doorbell access at the main entrance and keypad access to the back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the description of the infection control programme are available.  There is a job description for the infection control (IC) coordinator and clearly defined guidelines.  The infection control programme is linked into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committee is now part of the focus group meeting which meets monthly.  The focus group meeting minutes reviewed included discussion of infection control matters.  The IC programme is reviewed annually at head office.  The unit manager also reports monthly to the area manager and both attend meetings at head office which include discussion of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links with the general practitioner, local laboratory, the infection control and public health departments at the local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include reference to staff taking leave if they are sick with an infectious disease.  Staff interviewed confirmed that they would take leave if they were unwell.  Visitors would be informed if there was an outbreak in the community or in the service and asked not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focus group meeting which includes infection control, includes registered nurses and senior healthcare assistants as well as the unit manager and clinical coordinator.  The facility also has access to an infection control nurse specialist, public health, the general practitioner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The policies are reviewed annually, two yearly and as required in response to changes in legislation or practice.  External expertise can be accessed as required, to assist in the development of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an external on-line training provider.  This includes infection control training and all staff have completed either this on-line training or training from the infection control coordinator in the past year.  Confirmation of training was evidenced through attendance records and reports extracted from the on-line training programme.  The infection control coordinator also stated that they can work with the staff member as they complete the on-line training to provide support or to provide additional training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for new staff includes specific training around hand hygiene and standard precautions.  Training is also provided at the focus group and staff meetings with staff confirming that this is useful, as it relates to current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Support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CHT infection control manual.  Monthly infection data is collected for all infections based on signs and symptoms of infection.  Short-term care plans are used as required (link 1.3.8).  Surveillance of all infections is entered onto a monthly infection summary.  This data is monitored and evaluated monthly and annually.  Outcomes and actions are discussed at the focus group meetings.  If there is an emergent issue, it is acted upon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focus group meeting is attended by registered nurses, senior healthcare assistants, the unit manager and acting clinical coordinator.  Staff also receive a summary of the discussion at the staff meetings monthly.  Care staff interviewed praised the new focus group meetings as a good process to raise and discuss data, issues and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is one resident using a lap belt as restraint while in a fall out chair to prevent them slipping off the chair.  No residents use enablers.  Enabler use is voluntary.  Staff interviews, and staff records evidenced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RMSP/enablers has been provided.  Restraint has been discussed as part of the focus group meetings monthly.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The service has a restraint coordinator position description.  Assessment and approval processes for restraint interventions included the restraint coordinator, resident/or family representative (legal guardian) and medical practitioner.  Restraint use, and review is part of the focus group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 comprehensive assessment for residents who require restraint interventions.  These are undertaken by suitably qualified and skilled staff (restraint coordinator) in partnership with the family.  The restraint coordinator and the legal guardian are involved in the assessment and consent process.  The medical practitioner is involved through the three monthly (or as required) medical review.  Assessments and approvals for restraint were fully completed.  These were sighted in the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where it is clinically indicated and justified, and approval processes are followed.  There is an assessment form/process that was completed for the restraint used initially and now the interRAI assessment includes reassessment of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 reviewed had a completed assessment that identified risk with interventions to manage the risk detailed in the long-term care plan.  Monitoring forms that included regular hourly monitoring (or more frequent) were present in the file reviewed.  The assessment included a detailed description of options considered and the rationale for use of the restraint.  The long-term care plan detailed interventions and monitoring to prevent injury that could potentially occur from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forms detailing the reason and type of restraint were not completed, however documentation to confirm that the resident and/or family has been involved in care planning which also includes review of any use of restraint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record reviewed, appropriate documentation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and enablers register which had been updated each month.  The focus group meeting minutes also form a register of any use of restraint or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month as evidenced in the focus group meeting minutes.  In the restraint file reviewed, evaluations had been completed with the legal guardian, restraint coordinator and medical practitioner.  The three-monthly reviews completed by the general practitioner also indicated review of the use of restraint and any changes to care required.  Restraint practices were reviewed on a formal basis every month by the restraint coordinator at the focus group meetings noting that this is attended by unit manager, acting clinical coordinator, registered nurses and senior healthcare assistants.  Evaluation timeframes were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completed six monthly by the area manager, with input and review of any corrective actions by the unit manager.  Reviews were completed six monthly or sooner if a need is identified.  Reviews were also completed monthly by the restraint coordinator with these discussed at the focus group meeting.  There have not been any adverse outcomes in the last 18 months, as confirmed by the acting clinical coordinator and the unit manager.  A review of the focus group meeting minutes for the past six months also confirmed that there had not been any adverse outcomes in the past six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4"/>
        <w:gridCol w:w="1280"/>
        <w:gridCol w:w="5888"/>
        <w:gridCol w:w="1625"/>
        <w:gridCol w:w="18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stored in two secured medication rooms with the main area located upstairs and a smaller room located downstairs.  All eyedrops in use were dated on opening and current.  All medications were correctly stored in the main room; however, storage downstairs did not meet regulations.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downstairs medication room was unlocked and the door ajar with no staff in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Unlabelled and opened foil wrapped antibiotics were located on stock shelves.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expired medications were on the stock shelves.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medication rooms is secure at all times.  ii) Ensure that medications are clearly labelled.  iii) Ensure expired medications are disposed of.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correctly prescribed on an electronic medication administration system for all long-term residents, however the short-term resident pharmacy generated paper medication chart was not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one only paper-based pharmacy generated medication chart did not evidence the signature of a medical officer.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are charted and signed by a medical officer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plans are evaluated at least six monthly and files sampled evidenced changes were made as required whenever progress towards meeting goals was different from expected.  Short-term cares plans were implemented for weight loss, infections, wound management, and on return from hospital admissions, however not all short-term care plans were evaluated.  In files sampled there was evidence of changes to the long-term care plans related to short-term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eight files samples included short-term care plans in place for between two and five weeks with no evidence of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short-term care plans are evaluated regularly and either resolved or transferred 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18"/>
        <w:gridCol w:w="71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Amberlea has made significant improvements to the activities programme as evidenced by an increase in survey satisfaction results.  Customer survey results from January 2017 to January 2018 had an average result of between 2.75 and 3.5.  A subsequent review of results from January 2018 to January 2019 showed results have increased to between 4 &amp; 4.5.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Amberlea management identified in June that the activities programme had a strong focus on crafts and games in small groups but was not meeting the needs of all residents.  The programme was reviewed in consultation with a CHT diversional therapist.  A new activities team of two were appointed with the skills to drive the revamped activity programme with a primary focus of reducing social isolation for residents.  A number of initiatives including an open day, Christmas shoes boxes and individual activity boxes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Connection to the community was increased by the Christmas box initiative.  The wider community was asked to provide gifts which would fit in a shoe box such as gift cards, toiletries, stationary, games and confectionery.  Fifty shoe boxes were packed, and gift wrapped by the residents at Amberlea.  The completed shoe boxes were then distributed by Amberlea representatives to the elderly in the community.  Thank you letters, confirmed recipient appreciation.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box initiative was developed specifically for those residents who either chose not to or were unable to participate in group activities.  The activities coordinator spent one-on-one time establishing a rapport with these residents and tailored the activities box to each resident’s specific interests and abilities.  The boxes were delivered to the residents and the activity coordinator evaluated the resident’s response weekly.  Healthcare assistants were provided with education on the use and benefits of the activity boxes and would engage the residents with their box following daily care.  Families became involved and reported the benefits of having a talking point and ability to discuss with the resident’s interests. </w:t>
            </w:r>
          </w:p>
          <w:p w:rsidR="00EB7645" w:rsidRPr="00BE00C7" w:rsidP="00BE00C7">
            <w:pPr>
              <w:pStyle w:val="OutcomeDescription"/>
              <w:spacing w:before="120" w:after="120"/>
              <w:rPr>
                <w:rFonts w:cs="Arial"/>
                <w:b w:val="0"/>
                <w:lang w:eastAsia="en-NZ"/>
              </w:rPr>
            </w:pPr>
            <w:r w:rsidRPr="00BE00C7">
              <w:rPr>
                <w:rFonts w:cs="Arial"/>
                <w:b w:val="0"/>
                <w:lang w:eastAsia="en-NZ"/>
              </w:rPr>
              <w:t>Survey statistics, family feedback and individual weekly evaluations confirm the initiatives have had a positive impact on residents’ quality of life.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Amberlea Hospital and Rest Home</w:t>
    </w:r>
    <w:bookmarkEnd w:id="58"/>
    <w:r>
      <w:rPr>
        <w:rFonts w:cs="Arial"/>
        <w:sz w:val="16"/>
        <w:szCs w:val="20"/>
      </w:rPr>
      <w:tab/>
      <w:t xml:space="preserve">Date of Audit: </w:t>
    </w:r>
    <w:bookmarkStart w:id="59" w:name="AuditStartDate1"/>
    <w:r>
      <w:rPr>
        <w:rFonts w:cs="Arial"/>
        <w:sz w:val="16"/>
        <w:szCs w:val="20"/>
      </w:rPr>
      <w:t>17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