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Bethsaida Trust Board Incorporated - Bethsaida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Bethsaida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Bethsaida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April 2019</w:t>
      </w:r>
      <w:bookmarkEnd w:id="7"/>
      <w:r w:rsidRPr="009418D4">
        <w:rPr>
          <w:rFonts w:cs="Arial"/>
        </w:rPr>
        <w:tab/>
        <w:t xml:space="preserve">End date: </w:t>
      </w:r>
      <w:bookmarkStart w:id="8" w:name="AuditEndDate"/>
      <w:r w:rsidR="00A4268A">
        <w:rPr>
          <w:rFonts w:cs="Arial"/>
        </w:rPr>
        <w:t>1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Bethsaida Retirement Village provides rest home and hospital level care for up to 57 residents. The service is operated by Bethsaida Trust Board Incorporated and managed by a facility manager with support from a clinical nurse leader.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nurse practitioner.</w:t>
      </w:r>
    </w:p>
    <w:p w:rsidRPr="00A4268A">
      <w:pPr>
        <w:spacing w:before="240" w:line="276" w:lineRule="auto"/>
        <w:rPr>
          <w:rFonts w:eastAsia="Calibri"/>
        </w:rPr>
      </w:pPr>
      <w:r w:rsidRPr="00A4268A">
        <w:rPr>
          <w:rFonts w:eastAsia="Calibri"/>
        </w:rPr>
        <w:t xml:space="preserve">This audit has resulted in three continuous improvement ratings in quality improvement, staff education and safe environment and no areas identified 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with support from an experienced clinical nurse leader.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the development and implementation of multiple organisation-wide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annual individual performance and competency reviews.  </w:t>
      </w:r>
    </w:p>
    <w:p w:rsidRPr="00A4268A">
      <w:pPr>
        <w:spacing w:before="240" w:line="276" w:lineRule="auto"/>
        <w:rPr>
          <w:rFonts w:eastAsia="Calibri"/>
        </w:rPr>
      </w:pPr>
      <w:r w:rsidRPr="00A4268A">
        <w:rPr>
          <w:rFonts w:eastAsia="Calibri"/>
        </w:rPr>
        <w:t xml:space="preserve">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r w:rsidRPr="00A4268A">
        <w:rPr>
          <w:rFonts w:eastAsia="Calibri"/>
        </w:rPr>
        <w:t xml:space="preserve">The overall environment is spacious, light, well ventilated and maintained at a comfortable temperature.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According to the register, one enabler and three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3"/>
        <w:gridCol w:w="1280"/>
        <w:gridCol w:w="88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Bethsaida Trust Board Incorporated - Bethsaida Retirement Village (Bethsaida)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provided examples of the involvement of Advocacy Services in relation to resident and staff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associated forms meet the requirements of Right 10 of the Code and include reference to a policy on open disclosure.  Information on the complaint process is provided to residents and families on admission when they are also asked to raise any ‘annoyances’ or concerns. Residents and family members interviewed knew how to lodge a complaint, but none were reported.  Residents also have the opportunity to express concerns at residents’ meetings with an example being that a resident did not like the toast. Suitable actions to address this were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the last complaint was dated 22 January 2018, which was a follow-up complaint to the response for one filed in November the previous year. Documented correspondence provided evidence the issues had been fully investigated and responded to appropriately. A letter from the Health and Disability Commission dated August 2017 confirmed that there was no issue to respond to regarding a complaint filed by a family member earlier in that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in discussion with staff.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continuing with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attendance at community church.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diabetes nurse specialist, wound care specialist, psychogeriatrician and mental health services for older persons, and education of staff. The health practitioner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implementation of quality initiatives for any issues or identified gaps.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Bethsaida Retirement Village is managed by a company that is a wholly owned subsidiary of the Bethsaida Trust Board, a charitable trust that was registered in 1973 and became incorporated in 2006. A 2017 – 2022 Business Plan outlines the vision and mission statement of the Bethsaida Retirement Village. Core values are listed and elaborated within the script. Eight strategies describe how associated objectives will be fulfilled and demonstrated integration of the core values, mission and vision. Business objectives and goals around the expansion process and maintaining occupancy are included in the document.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as presented to the board meetings by the facility manager, showed each has a consistent format and includes adequate information to monitor performance. The reports include information on occupancy, finances and purchases, health and safety, the environment and improvements, as well as copies of reports from the manager, maintenance, gardening and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service is managed by a facility manager who holds relevant nursing and management qualifications, has had suitable previous experience and has been in the role for six years. The facility manager reports directly to the Chairperson of the Board. Responsibilities and accountabilities are defined in a position description and an individual employment agreement. Arrangements are in place for a performance appraisal to be completed within the next four weeks. The facility manager confirmed knowledge of the sector, regulatory and reporting requirements and maintains currency by attending aged care and retirement village conferences, in-house training sessions and local DHB aged care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 contract with the District Health Board to provide rest home and hospital aged care services. Forty-seven residents were receiving rest home or hospital level care services at the time of audit. Of these, forty-five were under the Aged Related Residential Care Agreement contract, twenty-nine of which were rest home level care residents and sixteen hospital level care. One other hospital level care resident is funded by the Accident Compensation Corporation and another pays privately.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suitably qualified and experienced clinical nurse leader is responsible for management of the facility when the facility manager is absent. This person carries out all the required duties under delegated authority and has access to support from board members if required. There are seven other registered nurses on site for additional clinical support while the clinical nurse manager is on leave or undertaking relief duties for the facility manager. Staff reported there is always good access to suitable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There is an overall culture of quality improvement to address any issues of concern, or to progress new ideas, and this has enabled a continuous quality improvement rating to be allocated for criterion 1.2.3.7. Various aspects of the quality and risk system include  management of incidents and complaints, internal audit activities, a regular patient satisfaction survey, monitoring of outcomes, clinical incidents including infections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monthly review and analysis of quality indicators is consistently occurring. Related information around quality and risk, health and safety, infection control and restraint are also reported and discussed at these meetings, as well as registered nurse meetings, staff meetings, specialist staff group meetings, and when applicable, residents’ meetings.  Staff reported their involvement in quality and risk management activities through their active participation in quality improvement initiatives, completing incident/accident forms, attendance at staff training updates and reading policy documents and meeting minutes as requested. An internal audit schedule is being adhered to and various departments including kitchen, maintenance, laundry and cleaning provide the facility manager with monthly reports according to a template. </w:t>
            </w:r>
          </w:p>
          <w:p w:rsidR="00EB7645" w:rsidRPr="00BE00C7" w:rsidP="00BE00C7">
            <w:pPr>
              <w:pStyle w:val="OutcomeDescription"/>
              <w:spacing w:before="120" w:after="120"/>
              <w:rPr>
                <w:rFonts w:cs="Arial"/>
                <w:b w:val="0"/>
                <w:lang w:eastAsia="en-NZ"/>
              </w:rPr>
            </w:pPr>
            <w:r w:rsidRPr="00BE00C7">
              <w:rPr>
                <w:rFonts w:cs="Arial"/>
                <w:b w:val="0"/>
                <w:lang w:eastAsia="en-NZ"/>
              </w:rPr>
              <w:t>When indicated within the quality and risk management processes, relevant corrective actions are developed and implemented to address the shortfalls. As mentioned, quality improvements that may or may not be part of a corrective action are also being implemented. A family satisfaction survey was completed earlier this year and informed that there is overall satisfaction with the services provided. Some comments related to food have since been followed up by the facility manager and the clinical nurse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by a quality consultant in consultation with the manager, the clinical nurse leader and facility staff. These had been updated earlier in 2019 and the review for stage one of the audit showed they are based on current best practice and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staff have completed relevant health and safety training and are familiar with the Health and Safety at Work Act (2015). Relevant requirements have been and are being implemented. The facility manager and the registered nurse leader described the processes for the identification, monitoring, review and reporting of risks and development of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and analysed with assistance from a system provided through a quality consultant. Information obtained from the analysis and the graphs is reported to the combined health and safety and quality improvement meetings. Any corrective actions or quality improvement opportunities are identified and followed through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related to sentinel events, including for unexpected deaths, police investigations, coroners’ inquests, infections and pressure injuries. According to the facility manager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where required. Records of annual practising certificates for health professionals attending residents were viewed and all were current. A sample of staff records reviewed confirmed the organisation’s recruitment policies and procedures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has been altered to better prepare new staff for their role.  Records of staff orientation processes, including of the associated competencies, were complete. The facility manager and/or the clinical nurse leader has an informal interview at around three months to ensure any training needs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considering the topics that require biennial refreshers. Healthcare assistants have either completed or commenced a New Zealand Qualification Authority education programme to meet the requirements of the provider’s agreement with the DHB. A staff member is the internal assessor for the programme.  There are sufficient trained and competent registered nurses who are maintaining their annual competency requirements to undertake interRAI assessments. Performance appraisals are all current with the facility manager responsible for those of non-clinical staff and the clinical nurse leader responsible for those of clinical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has been allocated for an initiative that has seen competency reviews and performance appraisals being combined and caseloads allocated to both registered nurses and the health care assistants. The processes and associated reviews have resulted in improved resident safety and service delivery, and improved accountability of resident related documentation and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leave and rostering policy is in place. These documented processes are implemented for determining staffing levels and skill mixes to provide safe service delivery, 24 hours a day, seven days a week (24/7). The facility is not using an official acuity tool but demonstrated how staffing levels are adjusted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rosters are completed by the clinical nurse leader who ensures there is a registered nurse on duty at all times, and that all shifts are filled according to a safe staffing roster template. Residents and family members interviewed were satisfied that there are sufficient staff on duty. The service operates as two teams with a duty nurse in charge at each of the two nurses’ stations. Four weeks of completed rosters were reviewed and confirmed all shifts had been filled, including for unplanned staff absences. There was also evidence of additional staff hours allocated to cover increased demands. All registered nurses have a current first aid certificate and/or a level four cardio-pulmonary resuscitation competency. Likewise, all have a medicine competency. Senior caregivers also have first aid certificates and have varying levels of medicine management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has an allocation book in which health care assistants are allocated to clients according to their skills and experience. A document that details projected staffing levels for the progressive move of 43 to 57 beds has been developed by the clinical nurse leader and was presented to the accountant and the Board of Trustees. Recommendations in this report are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After-hours on-call arrangements are primarily covered by the clinical nurse leader and the facility manager who share these roles. Staff reported that there is always a registered nurse on duty and that there is good access to advice when needed.   Care staff reported there were adequate staff available to complete the work allocated to them for each shift. Although people are working longer hours or extra shifts since the new wings have become occupied, the clinical nurse leader and the facility manager described how this is being managed in a safe manner. Evidence of pro-active recruitment processes and new staff orientation that is underway was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their general practitioner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Nelson Marlborough district council.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continence assessment, as a means to identify any deficits and to inform care planning. The sample of care plans reviewed had an integrated range of resident-related information.  All residents have current interRAI assessments completed by one of seven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nurse practitioner interviewed, verified that medical input is sought in a timely manner, that medical orders are followed, and care is of a good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persons, one whom has almost completed her diversional therapy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each month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varied and that is suits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wounds, mobility and continence.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may choose to use their own health practitioner. If the need for other non-urgent services are indicated or requested, the health practitioner or RN sends a referral to seek specialist input. Copies of referrals were sighted in residents’ files, including referrals to a dietitian and medical consultants.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comprehensively documented processes for the management of waste and infectious and hazardous substances.  Appropriate signage is displayed where necessary and waste disposal receptacles are available. An external company is contracted to supply and manage all chemicals and cleaning products and they also provide relevant training for staff. Material safety data sheets and a spill kit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July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was evident following the planning and implementation of an initiative to improve the systems in place for monitoring aspects of the residents’ physical environment and the safety and reliability of their equipment. These systems complement, and have improved those in place, for testing and tagging of electrical equipment, calibration of bio medical equipment, checking the safety of hot water temperatures and checks of mobility equipment including electric beds and hoists, as examples.  Increased efforts have been made to ensure the environment is consistently hazard free, that residents are safe, and independence is promoted. Positive feedback from the manager, staff, the maintenance person and external providers was reported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were appropriate to the resident groups and setting.  Ramps are in place, non-slip surfaces have been laid and seating is strategically positioned.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who to ask if something is not working properly and stated that any maintenance requests are appropriately actioned. All stated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with all bedrooms having an accessible combined toilet and shower ensuite. Five other toilets are available throughout the facility.  Appropriately secured and approved handrails are provided in the toilet/shower areas, and other equipment/accessories are available to promote resident independence with personal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their bedrooms safely.  There is sufficient room for mobility equipment to be used in the bedrooms. All bedrooms provide single accommodation, although they are of varying sizes with even the smaller ones being spacious.  Rooms are personalised with furnishings, photos and other personal items displayed.  There is ample purpose-built storage space throughout the facility for equipment such as wheelchairs and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There is sufficient room for additional equipment and large chairs to be used when required. Residents can access sunroom/lounge areas at the end of different wings around the facility for relaxation 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large dedicated laundry by laundry staff who are knowledgeable in the processes. Dedicated laundry staff described and demonstrated a sound knowledge of the laundry processes, colour-coded laundry bags,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One of the cleaning staff interviewed was aware of the safety requirements. Chemicals were stored in a lockable cupboard and were in appropriately labelled containers in locked storage rooms. Residents interviewed stated they are satisfied with the cleanliness of their rooms. Results of the last family survey noted that relatives reported the facility is always clean and tidy. </w:t>
            </w:r>
          </w:p>
          <w:p w:rsidR="00EB7645" w:rsidRPr="00BE00C7" w:rsidP="00BE00C7">
            <w:pPr>
              <w:pStyle w:val="OutcomeDescription"/>
              <w:spacing w:before="120" w:after="120"/>
              <w:rPr>
                <w:rFonts w:cs="Arial"/>
                <w:b w:val="0"/>
                <w:lang w:eastAsia="en-NZ"/>
              </w:rPr>
            </w:pPr>
            <w:r w:rsidRPr="00BE00C7">
              <w:rPr>
                <w:rFonts w:cs="Arial"/>
                <w:b w:val="0"/>
                <w:lang w:eastAsia="en-NZ"/>
              </w:rPr>
              <w:t>Laundry and cleaning schedules were available. Cleaning and laundry processes are monitored through the internal audit programme and results of these were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11 December 2018.  A trial evacuation takes place six-monthly with a copy sent to the New Zealand Fire Service, the most recent being on 2 April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drinking water, blankets, a first aid kit, mobile phones and gas BBQ’s were sighted and meet the requirements for a full contingent of residents and staff. Water storage tanks are located around the complex, and there is a generator on site that is checked weekly.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that since monitoring of response times has increased staff now respond more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staff undertake security checks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Indoor areas are bright and spacious, rooms have natural light, opening external windows and many have doors that open onto outside garden or small patio areas. Heating is provided by heat pumps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external experts.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is the designated IPC coordinator, whose role and responsibilities are defined in a job description. Infection control matters, including surveillance results, are reported monthly to the facility manager, and tabled at the quality committee meeting. This committee includes the facility manager IPC coordinator, the health and safety officer, and representatives from food services, care staff and household management. A report is sent to the governing trustees monthly.</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over four years.  She has undertaken relevant training and attended study days, as verified in training records sighted. Additional support and information is accessed from the infection control team at the DHB, the community laboratory and health practitioners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2018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An example of this occurred when there was an increase in urinary infections during the hot summer weather.</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clinical leader and IPC committee. Data is benchmarked externally within the electronic system used by Bethsaida and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restraints/enablers for use at this facility include a lap belt, bedrails and a fall out chair. On the day of audit, three residents were using restraints and one was using an enabler, which were the least restrictive and used voluntarily at the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meeting minutes, files reviewed, and from interview with the restraint coordinator and other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is the restraint coordinator. Roles and responsibilities are documented throughout the restraint management policy and procedure. Restraint is managed at the organisational level through the wider infection control/health and safety and quality improvement monthly meetings to which a restraint use report is presented. This team is responsible for the approval of the use of restraints and the overall monitoring and analysis of restraint use.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person’s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registered nurse/clinical nurse leader undertakes the initial assessment, seeks input from colleagues, the resident’s family/whānau/EPOA and involves the person’s general practitioner in the final decision to ensure safe use of restraint. The restraint coordinator described the documented process.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processes identify the underlying cause, history of restraint use, cultural considerations, alternatives and associated risks, as listed on the relevant form.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with family members. Staff confirmed their reluctance to use any form of restraint but spoke positively about preventive methods such as sensor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file of each person using a restraint confirmed staff reports that when restraints are in use, frequent monitoring occurs to ensure the resident remains safe.  Records of monitoring had the necessary details. Safe levels of documentation around the use of the enablers were also sighted. There have been no requests for an advocate but all processes around restraint and enabler use are ensuring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quality improvement meeting. The register was reviewed and contained all residents currently using a restraint as well as the person using an enabler. Sufficient information to provide an auditable record was evident.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quality improvement meetings, where restraint is discussed. A resident interviewed confirmed their involvement in the evaluation process and their satisfaction with the enabler use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the use of each restraint use covers all requirements of the Standard, including future options to eliminate use, the impact and outcomes achieved, if the policy and procedure was followed and ensuring documentation is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team, where restraint is discussed, undertake monthly and six-monthly reviews of all restraint use which includes all the requirements of this Standard. Minutes of these meetings reviewed confirmed this includes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There have been no changes required to current policies, guidelines, education and restraint processes. All restraint use is individualised.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8617"/>
        <w:gridCol w:w="2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is being implemented with rigour and quality improvement opportunities are being identified in all aspects of the system. The various aspects range from internal audit outcomes, meetings, data collection and analysis of various aspects of quality and risk related issues, surveys and corrective action follow-up, for example. Collective information emerging from these ongoing monitoring processes confirmed the value of the results/improvements of the multiple quality initiatives being identified and implemented. This is occurring at a level of organisation-wide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have been implemented as a result of new innovative ideas, or ways of addressing shortfalls to enhance corrective action follow-up processes. Eleven such examples were developed and followed through during 2018 and five thus far in 2019. Each varied in complexity and the examples covered topics from resident documentation, staff concerns, systems around resident care and activities, environmental improvements and reporting processes such as handovers. The majority of initiatives implemented/under implementation had the potential to positively impact on resident care and support. During interview, staff were aware of these initiatives and of their purpose.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strong culture of continuous quality improvement that filters through all levels of the organisation and for all aspects, of the quality and risk management system. Quality improvement planning, evaluation and review processes are implemented for any identified opportunity for improvement and further enhance the corrective action processes, which overall are intended to improve the residents’ service delivery, lifestyle and life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identified the need to improve staff accountability regarding care services to residents and improve the tracking of clinical documentation to ensure it accurately reflected the residents’ individualised care needs and promoted their safety. Part of the plan of action included that registered nurses were assigned caseloads. All clinical documentation for each caseload is checked by the clinical nurse leader on a monthly basis against nine specific criteria to ensure the documentation and all issues for residents are being adequately addressed. The process included helping staff to feel supported in their roles. Strategies used included combining annual performance appraisals and all mandatory competency assessments for all staff members that has ensured all are up to date, which was verified in the staff competency list.  Healthcare assistant caseloads for individual resident’s care are matched with their identified competencies on a daily basis by the clinical nurse leader. The process of daily staff allocation was described, and records sighted showed these are consistent with the roster and the staff skill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processes by the clinical nurse leader included checking the data on the purpose developed schedule sheets, tracking the registered nurses’ caseloads over the month with an individual printout provided to each of the nurses, feedback from residents in multi-disciplinary meetings and in the family survey, and staff reports during their annual performance appraisals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Findings from the review processes that have been, and are ongoing, include evidence and feedback that there has been an improvement in the delivery of care to residents. Staff are reporting they are now more competent and confident in their roles, that clinical documentation is completed within required timeframes, especially evaluations and reviews, health care assistants are accepting responsibility for the individual daily care of their residents, and the rotation of healthcare assistants has enabled a fair workload whilst staff maintain familiarity with all residents. Continuous quality improvement was evident through the various aspects of this initiative with direct improvements in service delivery for residents, as well as indirect improvements with staff being more satisfied and the documentation more complete and more accurate.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initiative that has resulted in the combining of staff competencies and performance appraisal processes, registered nurses taking on their own resident caseload and healthcare assistants having rotating daily caseloads is ensuring staff are well informed and competent in their role, promoting safer and more appropriate delivery of care for residents, enabling increased monitoring of residents’ documentation and increased accountability around the safety and individualised day to day care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summary, shortcomings were identified by the manager and maintenance person regarding the demands on the role and the responsibilities of the maintenance person. An internal review of the maintenance systems identified that not all aspects were fully functioning and the recording systems in place were insufficient to ensure resident safety at all times. A team approach that involved the facility manager, the administrator, the quality consultant and the maintenance person was taken. Using the collective skills of the team, information was gathered, planners were formatted, retraining was undertaken, appropriate external contractors accessed, electronic systems set up and consultation processes occurred. It was intended that the project aim to meet the requirements of the standard; however, evaluation and review processes that followed showed some unexpected outcomes. In addition to achieving the intention that all equipment and maintenance related monitoring records are now completed and ensure resident safety, the maintenance person has expressed a new confidence in the role, confirmed that new skills have been acquired and residents reported how much easier it is to request and receive such assistance nowadays. There is now an ability to plan forward to ensure relevant technicians are booked and there is increased reliability of equipment checks from external service providers. Staff confirmed that overall there is now increased attention to residents’ safety around their environment, their personal equipment (especially for mobility) is more reliable and there has been an increased awareness of health and safety issues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nature of this initiative, the wide-ranging positive feedback about the differences from the manager, staff, residents and the maintenance person and the clearly defined benefits emerging from the evaluation and review processes has meant a continuous improvement has been allocated for this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review of the systems that ensure buildings, plant and equipment comply with legislation has occurred and has resulted in the implementation of more efficient processes, which have subsequently reduced associated risks, raised associated health and safety awareness and improved the safety of the environment and reliability of equipment for residents.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Bethsaida Trust Board Incorporated - Bethsaida Retirement Village</w:t>
    </w:r>
    <w:bookmarkEnd w:id="58"/>
    <w:r>
      <w:rPr>
        <w:rFonts w:cs="Arial"/>
        <w:sz w:val="16"/>
        <w:szCs w:val="20"/>
      </w:rPr>
      <w:tab/>
      <w:t xml:space="preserve">Date of Audit: </w:t>
    </w:r>
    <w:bookmarkStart w:id="59" w:name="AuditStartDate1"/>
    <w:r>
      <w:rPr>
        <w:rFonts w:cs="Arial"/>
        <w:sz w:val="16"/>
        <w:szCs w:val="20"/>
      </w:rPr>
      <w:t>30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