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Coldstream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Coldstream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May 2019</w:t>
      </w:r>
      <w:bookmarkEnd w:id="7"/>
      <w:r w:rsidRPr="009418D4">
        <w:rPr>
          <w:rFonts w:cs="Arial"/>
        </w:rPr>
        <w:tab/>
        <w:t xml:space="preserve">End date: </w:t>
      </w:r>
      <w:bookmarkStart w:id="8" w:name="AuditEndDate"/>
      <w:r w:rsidR="00A4268A">
        <w:rPr>
          <w:rFonts w:cs="Arial"/>
        </w:rPr>
        <w:t>7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Coldstream Rest Home &amp; Hospital provides hospital and rest home level care for up to 58 residents. The service is operated by Heritage Lifecare Limited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has resulted in no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Health and Disability Commissioner’s Code of Health and Disability Services Consumers’ Rights (the Code) is provided to residents and family members at the time of entry to services.  The rights described in the Code are upheld during service delivery.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 xml:space="preserve">Systems are in place to enable any residents who identify as Māori to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 and 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Separate personalised activity plans are included. Any new problems that arise are integrated into the care plan.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Six enablers and two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is led by an infection control coordinator, who has access to specialist infection prevention and control for further information and advice when needed. There is a focus on infection prevention and safe management of any infections that occur. Review of the infection prevention programme is described in policy documentation. </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and handwashing competencies.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69"/>
        <w:gridCol w:w="1280"/>
        <w:gridCol w:w="95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Lifecare has developed policies, procedures and processes to meet its obligations in relation to the Code of Health and Disability Services Consumers’ Rights (the Code) that are used at Coldstream Lifecare.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annual mandatory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who were interviewed understood the principles and practice of informed consent. Informed consent policies and procedures provide relevant guidance to staff.  </w:t>
            </w:r>
          </w:p>
          <w:p w:rsidR="00EB7645" w:rsidRPr="00BE00C7" w:rsidP="00BE00C7">
            <w:pPr>
              <w:pStyle w:val="OutcomeDescription"/>
              <w:spacing w:before="120" w:after="120"/>
              <w:rPr>
                <w:rFonts w:cs="Arial"/>
                <w:b w:val="0"/>
                <w:lang w:eastAsia="en-NZ"/>
              </w:rPr>
            </w:pPr>
            <w:r w:rsidRPr="00BE00C7">
              <w:rPr>
                <w:rFonts w:cs="Arial"/>
                <w:b w:val="0"/>
                <w:lang w:eastAsia="en-NZ"/>
              </w:rPr>
              <w:t>Clinical files reviewed showed that Heritage Lifecare informed consent forms had replaced former documents and demonstrated informed consent has been gained appropriately. The clinical nurse manager described how some residents and family members require more explanations than others. Signed forms on the person’s choices around resuscitation were on file and demonstrated GP involvement. Enduring power of attorney documentation was in all files viewed. There was limited evidence of advance care planning; however, there were reports of planning under way to encourage more residents to consider such options. Staff were observed to gain consent for day to day care and to consistently provide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and a copy of the separate brochure on the Nationwide Advocacy Service. Posters and brochures related to the Advocacy Service were also displayed and available in the facility. Family members and residents spoken with were aware of the Advocacy Service, how to access this and their right to have support persons. There were no examples available about the involvement of Advocacy Services, although there were many examples provided of family and friends acting as an advocate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A family/ whānau record sheet provides a date and an overview of key conversations with family/whānau.</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feel welcome when they visited and are comfortable in their dealings with staff. Residents informed that friends and family are always welcome and come at times that suits them, so long as it is reasonable.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four complaints had been received over the past year and that actions taken, through to an agreed resolution, were documented and completed within accepted timeframes.  Action plans showed any required follow up and improvements have been made where possible. The care home  manager (CHM)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interviewed reported being made aware of the Code and the Nationwide Health and Disability Advocacy Service (Advocacy Service) at the time of admission and were familiar with the contents. A copy of the Code is inside wardrobe doors. The clinical services manager informed it is a key part of the initial discussions and reminders are offered to residents and staff at appropriate opportunities including meetings. The Code is displayed in the main entrance in both English and te reo Maori together with information on advocacy services, how to make a complaint and feedback forms.  Copies of brochures about the Code are supplied in the enquiry package, the family package and at the front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 Some family members provided examples.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and the clinical services manager stated that although staff are frequently reminded of the importance of maintaining privacy and confidentiality that no formal reminders have been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as per personal preferences and abilities. Some are encouraged to walk to the dining area, others supported to go out to community events, such as a club or church, and others encouraged to attend activities or assist with their personal hygiene.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 Family/whānau informed they had not seen any examples of concern.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not currently any residents who identify as Māori. The clinical services manager informed that several staff who identify as Māori would support any residents who identify as Māori and are admitted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A kaumatua who was available to provide advice and support to residents and staff is no longer available and the facility manager described actions taken to date since March 2019 to ensure a suitable person is available for this role should it be required and to provide staff training on the principles of the Treaty of Waitangi.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Personal preferences expressed by residents, required interventions and special needs were included in the care plans reviewed with additional information on those identified within their social profiles and activities plans. A family member described additional efforts staff have gone to while ensuring their relative’s cultural values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there has been no evidence of any form of discrimination, harassment or exploitation and people said they believe they are safe. The induction process for staff includes education related to professional boundaries, expected behaviours and the ‘Heritage Way’, which is the organisation’s Code of Conduct.  All employees are required to sign ‘the Heritage Way’ to conform they have read and will honour it.  Staff are guided by policies and procedures and demonstrated a clear understanding of the process they would follow, should they suspect any form of exploitation. The managers could not recall any such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DHB aged care palliative nurse specialist, wound care specialist, psychogeriatrician and mental health services for older persons, and education of staff. The general practitioner (GP) confirmed the staff were responsive to medical requests and were experts in wound care. Advanced skills around wound care were further described by registered nurses as they described how healing had occurred for wounds that were expected to remain chronic. The clinical services manager expressed pride in the overall commitment of staff in the care and support they provide, which was reiterated by residents and family members/whānau.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relevant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the focused orientation schedule and comprehensive ongoing training schedule, including ‘toolbox talks’.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by documentation in family/whānau contact records filed in residents’ records reviewed.  Enduring power of attorneys are involved as indicated in each resident’s file. Staff understood the principles of open disclosure, which is supported by organisational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had never been required due to all residents being English speaking. Some staff are bi-lingual or multi-lingual and would assist with interpretation if necessary. A list of interpreter services for different languages is available in the nurses’ station for use when necessary. Staff were reported to be creative when dealing with people with hearing impairment and are taught how to manage hearing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Lifecare Limited (HLL) strategic and business plans, which are reviewed annually, outline the purpose, values, scope, direction and goals of the organisation. There are Coldstream specific documents that describe annual objectives and the associated operational plans. A sample of monthly reports to the support office showed adequate information to monitor performance is reported including occupancy, staffing, key performance indicators,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CHM who holds relevant qualifications and has been in the role for 18 months at Coldstream. She has previous management experience, including at Coldstream under the previous owner. Responsibilities and accountabilities are defined in a job description and individual employment agreement. She confirmed knowledge of the sector, regulatory and reporting requirements and maintains currency through sector meetings and HLL conference and education seminars. The CHM is supported by the clinical service manager (CSM) and HLL support office. A member of the support office was onsite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Canterbury District Health Board (CDHB) for hospital, respite, long term chronic conditions and rest home care and Ministry of Health for young persons with a disability (YPD). The service also has one resident under an accident compensation corporation (ACC) contract. Fifty-two residents were receiving services under the contracts at the time of audit. Twenty-two rest home residents, including one YPD, twenty-nine hospital level including two YPD. One ACC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CHM is absent, the CSM carries out some of the required duties under delegated authority, or the support office provides interim cover. During absences of key clinical staff, the clinical management is overseen by a registered nurse (RN) who is experienced in the sector and able to take responsibility for any clinical issues that may arise. The CHM is a registered nurse and assumes some CSM responsibilities.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key performance indicators, clinical incidents including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quality team meetings and staff meetings. Staff reported their involvement in quality and risk management activities through audit activities, and feedback via surveys. Relevant corrective actions are developed and implemented to address any shortfalls. Resident and family satisfaction surveys are completed annually. The most recent survey showed a comment regarding food temperatures and laundry. There was evidence in residents’ and staff meeting minutes that actions have been implemented and residents reported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CHM described the processes for the identification, monitoring, review and reporting of risks and development of mitigation strategies. The manager was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incidents forms reviewed showed these were fully completed, incidents were investigated, action plans developed and actions followed-up in a timely manner.  Adverse event data is collated, analysed and reported to the HLL support office via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The CSM and CHM described essential notification reporting requirements, including for pressure injuries. They advised there have been two notifications of significant events made to the Ministry of Health, since the previous audit. One is closed out and one is still being investigated.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and annual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contractor is the internal assessor for the programme. There are sufficient trained and competent registered nurses who are maintaining their annual competency requirements to undertake interRAI assessments. Records reviewed demonstrated completion of the required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four weeks of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personal, clinical and health information was fully completed in the residents’ files sampled for review. Some of these details are also entered electronically by administration staff when a resident enters the service. </w:t>
            </w:r>
          </w:p>
          <w:p w:rsidR="00EB7645" w:rsidRPr="00BE00C7" w:rsidP="00BE00C7">
            <w:pPr>
              <w:pStyle w:val="OutcomeDescription"/>
              <w:spacing w:before="120" w:after="120"/>
              <w:rPr>
                <w:rFonts w:cs="Arial"/>
                <w:b w:val="0"/>
                <w:lang w:eastAsia="en-NZ"/>
              </w:rPr>
            </w:pPr>
            <w:r w:rsidRPr="00BE00C7">
              <w:rPr>
                <w:rFonts w:cs="Arial"/>
                <w:b w:val="0"/>
                <w:lang w:eastAsia="en-NZ"/>
              </w:rPr>
              <w:t>Clinical notes were current and integrated with GP and allied health service provider notes. A separate folder holds working documents of wound care plans, short term care plans and behaviour monitoring records to ensure updating occurs. InterRAI assessment information entered into the Momentum electronic database was also up to date for all residents.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transferred to a secure area of a nearby facility. No personal or private resident information was on public display during the audit with residents’ main service plan and associated documents stored in lockable cupboards in the nurses’ station.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an enquiry pack that contains written information about the service and the admission process.   The organisation seeks updated information from relevant sources such as the GP for residents accessing respite care.  On entry to the service a family pack is provided. This contains information on rights, advocacy services, information on making a complaint, a welcome letter and information on cultural, advocacy and interpreter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and transport made available as appropriate.  The service uses the DHB’s ‘yellow envelope’ system to facilitate transfer of residents to and from acute care services. It was reported that there is open communication between all services, the resident and the family/whanau with one person relaying their experience.  At the time of transition between services, appropriate information is reportedly provided for the ongoing management of the resident and will include medication records.  All referrals are documented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Although a rare occurrence, if a person transfers to another long-term care facility, the registered nurse provides a verbal and a written handover and the person is accompanied by a staff person, or a family member is asked to accompany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procedures are current and identify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There are three levels of medicine management competency; registered nurse, caregiver competency and second-checker. All staff who administer medicines are competent to perform the function they manage, and this was confirmed in records sighted.</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Due to the distance from the pharmacy these are couriered and signed for on receipt. A registered nurse checks the medications against the prescription and enters this into the person’s electronic record. All medications sighted were within current use by dates. Clinical pharmacist advice is provided on request, otherwise they visit to undertake six-monthly checks of controlled medicines. Controlled drugs are stored securely in accordance with requirements and checked by two staff for accuracy when administering. The controlled drug register provided evidence of weekly stock checks and accurate entries, as well as six-monthly pharmacy stocktakes.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were evident within the electronic system with dates recorded on the commencement and discontinuation of medicines and all requirements for pro re nata (PRN) medicines met. All medicine records that were checked at audit had been reviewed by the GP within the past three months. With the electronic medicine management system in place, standing orders nor faxed medicine records are no longer needed. However, instructions around warfarin doses, may be faxed or emailed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only one resident who self-administers a medicine; this being an inhaler. Appropriate processes are in place to ensure this is managed in a safe manner and records of a current competency that has been reviewed within the last three months were sighted.  </w:t>
            </w:r>
          </w:p>
          <w:p w:rsidR="00EB7645" w:rsidRPr="00BE00C7" w:rsidP="00BE00C7">
            <w:pPr>
              <w:pStyle w:val="OutcomeDescription"/>
              <w:spacing w:before="120" w:after="120"/>
              <w:rPr>
                <w:rFonts w:cs="Arial"/>
                <w:b w:val="0"/>
                <w:lang w:eastAsia="en-NZ"/>
              </w:rPr>
            </w:pPr>
            <w:r w:rsidRPr="00BE00C7">
              <w:rPr>
                <w:rFonts w:cs="Arial"/>
                <w:b w:val="0"/>
                <w:lang w:eastAsia="en-NZ"/>
              </w:rPr>
              <w:t>An implemented process for comprehensive analysis of any medication errors via the incident/adverse event reporting process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cook and kitchen team and is in line with recognised nutritional guidelines for older people.  A four-week rotating menu follows summer and winter patterns and has just been reviewed by a qualified dietitian (2019). The winter menu commenced 1 May 2019.</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local district council and has an expiry date of 2 March 2020. Arrangements are in place for an audit of the food control plan to occur within the next month. Food temperatures, including for high risk items, are monitored appropriately and recorded as part of the plan. Likewise, equipment checks such as fridge and freezer temperatures and cleaning schedules are checked daily.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registered nurse supplies the kitchen with a copy of these records, including when there are any updates or changes require. The personal food preferences, any special diets and modified food texture requirements are made known to kitchen staff and accommodated in the daily meal plan. Special equipment, such as lipped plates are also noted. Information from these documents is transferred onto a master list for the kitchen team, a copy of which was sighted.</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has only been one person whose entry application was declined, and the facility manager discussed the situation with the NASC. Examples of a person being incorrectly assessed were discussed and reassessments had been undertaken within two to three weeks before transfer to a suitable facility.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information in relation to the validated nursing assessment tools for falls risk, pressure injury risk, skin integrity, nutrition, continence, oral health and manual handling was consistently available in all files sample. The information identified areas in which additional attention might be required for that person. The sample of care plans reviewed had an integrated range of resident-related information obtained from external sources including hospital visits, GPs and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A record of the status of interRAI assessments was downloaded and confirmed all residents have a current interRAI that has been completed by one of the on-site trained interRAI assessors.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 sections of the service delivery plans reviewed all reflected the personal support needs of residents. There was evidence that the needs and information identified in the resident’s interRAI assessment and other assessment processes on record had been used to assist in the development of the care plans. Care and support plans reviewed showed evidence of updates inserted since their initial development indicating changes in the person’s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with some people specifically affirming that they believed they were listened 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Observations included viewing multiple examples of actions taken by the caregivers that demonstrated they were very familiar with the needs of the individual residents. Staff listened to requests from residents and ensured their safety when mobilising them or assisting them in some way. The attention to meeting a diverse range of resident’s individualised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GP interviewed, verified that medical input is sought in a timely manner, that medical orders are followed, and care is of a high level. Particular mention was made of the registered nurses, in particular the clinical nurse manager, and their skills in wound management. Care staff confirmed that care was provided as outlined in the documentation. In most instances they use handover to ensure they have the latest information and will ask a registered nurse if they are uncertain about anything.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all of which was suited to the level of care provided and in accordance with the residents’ needs. Manual handling assessment and care plans were in each person’s plans with acknowledgement of independence when this is the case.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trained diversional therapist who holds a national Certificate in Diversional Therapy, has been in the role for just over a week. During interview, it was evident that this person is skilled and creative with innovative ideas for moving forward. On the day of audit, an interim activities coordinator who had previously worked in the role for many years, was assisting with the diversional therapist’s orientation. One of the care givers assists the diversional therapist on two afternoons of the week. The relief activity person informed all staff are good at assisting with activities and/or getting people back and forward to activities. Community volunteers also assist with the activities programme or provide entertainment as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 personal profile that includes a social assessment and history is undertaken to ascertain residents’ needs, interests, abilities and social requirements. A preferred activities/recreation form is completed alongside at least two goals and an outline of interventions. This is accompanied by a 24-hour activities plan. Records on file demonstrated all documentation was up to date including three-monthly reviews of each person’s activities goals. Participation records were being filled in for each person. Activities assessments are reviewed every three months to help formulate an activities programme that is meaningful to the residents. The resident’s activity needs are also evaluated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An activities schedule for the current week was sighted, as was a draft for the upcoming four weeks. A variety of individual, group activities and regular events were evident in the schedule with an inter-rest home quiz at the local church on day two of the audit. Residents are involved in evaluating and improving the programme through residents’ meetings. Family members may provide feedback on the programme at any time, otherwise it is a question in the satisfaction surveys. Residents interviewed confirmed they find the programme interesting, that it has a lot of variety and that there is always something new to 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one of the registered nurses.  Monitoring processes for ongoing problems were also evident and specific examples included for pain and for behaviours that challenged.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such changes were evident in the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Copies of short-term care plans showed these are being consistently reviewed and progress is evaluated as clinically indicated depending on the issue of concern. Examples of currently active short-term care plans were for infections and wounds. The clinical services manager described examples of concerns that had started in a short-term care plans and been transferred into the long-term care plan. Evidence of this having occurred was evident in the care plans reviewed. Residents and families/whānau interviewed provided examples of involvement in evaluation of progress. Such reviews/evaluations can be informal, formal or opportunistic.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Residents may choose their medical practitioner and a number of different GPs attend residents in Coldstream Lifecare. If the need for other non-urgent services are indicated or requested, the GP or clinical services manager sends a referral to seek specialist input.  Copies of referrals were sighted in residents’ files, including to occupational therapy, physiotherapy, dental services, older person’s health psychiatric services, outpatient services and an ostomy clinic. The resident and the family/whānau are kept informed of the referral process, as verified by documentation and interviews. Any acute/urgent referrals are attended to immediately, by contacting the GP practice for direction; or sending the resident to accident and emergency in an ambulance, depending on the circumstances. The clinical services manager stated that the resident has a right to refuse a referral and provided an example. An escort is provided as needed and a family member informed that they may be contacted to assist their relative to an appointment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chemical handler who has completed the required training.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May 2020)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ensuite rooms and communal facilities. Appropriately secured and approved handrails are provided in the toilet/shower areas, and other equipment and 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and wheelchairs.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spacious laundry or by family members if requested.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These staff undertake training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18 Feb 2014.  A trial evacuation takes place six-monthly with a copy sent to the New Zealand Fire Service, the most recent being on 15 January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full occupancy of residents. Water storage tanks are located around the complex, and there is a generator available for hire if required.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opening external windows and some have doors that open onto outside garden. Heating is provided by either electric panel or ceiling heaters in residents’ rooms and in the communal areas. Areas were warm and well ventilated throughout the audit and residents and families confirmed the facilities are maintained at a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which is supplied by the support office. The infection control policy and procedures regarding implementation of the infection control programme were reviewed April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designated infection control coordinator/registered nurse, the clinical coordinator/registered nurse was interviewed regarding the infection prevention and control programme. The role and responsibilities of the infection control programme are defined in a job description. Infection control matters, including surveillance results, are reported monthly at the quality improvement and risk management team meeting. This committee includes the facility manager, the clinical services manager, the infection prevention and control co-ordinator, the health and safety officer, and representatives from food services, maintenance, the laundry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Influenza vaccinations are offered to residents and staff may get them free of charge.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recently appointed infection prevention and control coordinator is supported by the clinical services manager and by the local DHB infection prevention and control nurse, who has appropriate skills, knowledge and qualifications for the role. Specific training to upskill the infection prevention and control coordinator has been scheduled for 10 June 2019. Additional support and information are accessible from the infection control team at the DHB, the community laboratory, the GP and the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have been updated as required with the most recent one being around implementation of the programme. The documents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Infection control is on the list of mandatory trainings. A session on hand washing competency was provided to staff by the infection prevention and control coordinator in March 2019.  The DHB infection control nurse provided a broader session in May 2018 and the clinical services manager is waiting on a laboratory to confirm training dates for October 2019.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or advice about remaining in their room if they are unwell. A resident interviewed was aware of the need to drink additional fluids to avoid urinary tract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Staff initially document all infections on an infection control data form, on which a care plan is developed alongside. The infection prevention and control coordinator reviews all reported infections and develops recommendations as relevant. This is currently being done by the clinical services manager. New infections and any required management plan are discussed at handovers,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is entered into a monthly data form and into the infection register. It is then reported to the support office each month as part of the key clinical indicators report. Monthly surveillance data is collated and analysed to identify any trends, possible causative factors and required actions. Comparisons are made with data from the previous year. Results of the surveillance programme are shared with staff via regular staff meetings and at staff handovers.  Data is benchmarked externally within the group; however, Coldstream Lifecare does not yet have 12 months of data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to report over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two residents were using restraints and six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CHM, CSM and the general practitioner (GP),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with the restraint coordinator’s involvement, and input from the resident’s family/EPOA. The restraint coordinator described the documented process. Families confirmed their involvement. The GP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for example the use of sensor mats and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six-monthly review of all restraint use which includes all the requirements of this Standard. Six monthly restraint meetings and reports are completed, and individual use of restraint use is reported to the quality and staff meetings.  Minutes of meeting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 six-monthly internal audit that is carried out also informs these meetings. Any changes to policies, guidelines, education and processes are implemented if indicated. Data reviewed, minutes and interviews with CSM confirmed that the use of restraint has been reduced over the past year. Restraint use is benchmarked within HLL and this confirmed restraint use is below average.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Coldstream Rest Home &amp; Hospital</w:t>
    </w:r>
    <w:bookmarkEnd w:id="58"/>
    <w:r>
      <w:rPr>
        <w:rFonts w:cs="Arial"/>
        <w:sz w:val="16"/>
        <w:szCs w:val="20"/>
      </w:rPr>
      <w:tab/>
      <w:t xml:space="preserve">Date of Audit: </w:t>
    </w:r>
    <w:bookmarkStart w:id="59" w:name="AuditStartDate1"/>
    <w:r>
      <w:rPr>
        <w:rFonts w:cs="Arial"/>
        <w:sz w:val="16"/>
        <w:szCs w:val="20"/>
      </w:rPr>
      <w:t>6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