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Thorrington Village Limited - Thorrington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Thorrington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Thorrington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March 2019</w:t>
      </w:r>
      <w:bookmarkEnd w:id="7"/>
      <w:r w:rsidRPr="009418D4">
        <w:rPr>
          <w:rFonts w:cs="Arial"/>
        </w:rPr>
        <w:tab/>
        <w:t xml:space="preserve">End date: </w:t>
      </w:r>
      <w:bookmarkStart w:id="8" w:name="AuditEndDate"/>
      <w:r w:rsidR="00A4268A">
        <w:rPr>
          <w:rFonts w:cs="Arial"/>
        </w:rPr>
        <w:t>22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Thorrington Village is owned by Archer Group, who own one other care facility and another village.  The service provides dementia and rest home level care for up to 48 residents including rest home level care for up to a further 13 residents in studios under license to occupy arrangements.  On the day of the audit there were 37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is managed by a manager who has both management and aged care experience.   The manager is supported by an experienced clinical nurse manager.  They are supported by the general manager for the Archer Group.  Residents, relatives and the GP interviewed spoke positively about the service provided.</w:t>
      </w:r>
    </w:p>
    <w:p w:rsidRPr="00A4268A">
      <w:pPr>
        <w:spacing w:before="240" w:line="276" w:lineRule="auto"/>
        <w:rPr>
          <w:rFonts w:eastAsia="Calibri"/>
        </w:rPr>
      </w:pPr>
      <w:r w:rsidRPr="00A4268A">
        <w:rPr>
          <w:rFonts w:eastAsia="Calibri"/>
        </w:rPr>
        <w:t>The service has exceeded the standard around infection control surveillance and chaplaincy services.</w:t>
      </w:r>
    </w:p>
    <w:p w:rsidRPr="00A4268A">
      <w:pPr>
        <w:spacing w:before="240" w:line="276" w:lineRule="auto"/>
        <w:rPr>
          <w:rFonts w:eastAsia="Calibri"/>
        </w:rPr>
      </w:pPr>
      <w:r w:rsidRPr="00A4268A">
        <w:rPr>
          <w:rFonts w:eastAsia="Calibri"/>
        </w:rPr>
        <w:t>This audit has identified areas for improvement around; enduring power of attorney and neurological observations following 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village/quality manager is responsible for the day-to-day operations.  Goals are documented for the service with evidence of regular reviews.  A quality and risk management programme is in place.  Data is collected, analysed and discussed and changes made as a result of trend analysis.  Quality improvement plans are developed when service shortfalls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each day, seven days a week.  Residents and families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healthcare assistants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commented positively on the meals and baking provided.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All residents have a single room.  There are sufficient communal showers/toilets for all other rooms.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education and training around restraint minimisation and the management of challenging behaviour.  The service has appropriate procedures and documents for the safe assessment, planning, monitoring and review of restraint and enabler.  No residents were using restraints and no residents were using enablers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1"/>
        <w:gridCol w:w="1280"/>
        <w:gridCol w:w="102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provided with information on admission, which includes information about the Code.  Staff receive training around resident rights at orientation and as part of the annual training programme.  Interviews with care staff; (three healthcare assistants (HCA), one registered nurse (RN), one enrolled nurse (EN), the cook, an educator and the diversional therapist (DT) confirmed their understanding of the Code.  Five residents and four relatives (three rest home level and one dementia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consent forms were evident on all resident files reviewed (five rest home and two dementia).  General consent forms were evident on files reviewed.  Discussions with staff confirmed that they are familiar with the requirements to obtain informed consent for entering rooms and personal care.  EPOA’s were not evident in the two files reviewed from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that the service provides opportunities for the family/EPOA to be involved in decisions.  The chaplain is identified by staff and residents as an advocate.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complaints policy and process implemented.  Complaints forms are available.  Information about complaints is provided on admission.  Interviews with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An electronic complaint register includes written and verbal complaints, dates and actions taken.  A total of six complaints were logged onto the system with no complaints logged since August last year.  The service noted a trend around staff complaining about staff.  A quality improvement plan has been developed and implemented, and is currently being evaluated.  Meetings document that staff behaviour and the development of a caring culture towards each other is discussed.  Meeting minutes from 2018 also document discussion regarding resident and relative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being managed in a timely manner, meeting requirements determined by the Health and Disability Commissioner (HDC).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facility confirmed there are areas that support personal privacy for residents.  Staff were observed to be respectful of residents’ privacy by knocking on doors prior to entering resident rooms.  Residents and relatives interviewed confirmed that staff demonstrate sensitivity in regard to resident privacy and dignity and where possible, encourage the resident to be involved in their care according to their ability.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and this includes family involvement.  Interviews with residents confirmed their values and beliefs were considered.  Interviews with healthcare assistants described how choice is incorporated into resident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an individual values plan which includes cultural care and support   Family/whānau involvement is encouraged in assessment and care planning and visiting is encouraged.  Links are established with disability and other community representative groups as requested by the resident/family.  Cultural needs are addressed in the care plan.  There were no residents who identified as Māori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and the resident and/or whānau as appropriate are invited to be involved.  Individual beliefs or values are discussed and incorporated into the care plan.  Six-monthly multidisciplinary team meetings occur to assess if needs are being met.  Family are invited to attend.  Discussions with relatives confirmed that residents’ values and beliefs are considered.  Residents interviewed confirmed that staff take into account their values and beliefs.  Chaplaincy services have improved services and support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states there will be zero tolerance against any discrimination occurring.  Staff are supervised to ensure professional practice is maintained in the service.  Staff job descriptions include responsibilities.  Interviews with the managers and care staff confirmed their awareness of professional boundaries.  Healthcare assistants from the dementia unit described how they build a supportive relationship with each resident.  Interviews with a family member from the dementia unit confirmed the staff maintain a calm and supportive environment.  The training schedule included training around abuse and neglect, communication and dignity.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which includes nurse specialist’s visits.  Physiotherapy services are provided on-site once a week and a physiotherapy assistant works four hours a week.  A podiatrist is on-site every six weeks.  There is a regular in-service education and training programme for staff.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House GPs visit the facility once a week and provide an after-hours service.  The general practitioner (GP) reviews residents identified as stable every three months, with more frequent visits for those residents whose condition is not deemed stable.  The GP interviewed was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high emphasis on training and employs a designated trainer.  This has resulted in a range of training to suit different learning styles, such a online, assessments/competencies, training packages and a complete review of the orientation programme.  Staff interviewed, stated that they feel very well supported though training.</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benchmarked through an outside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10 incident reports reviewed for February 2019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Thorrington Village is owned by Archer Group who own one other care facility and another village.  The service provides dementia and rest home level care for up to 45 residents and rest home level care for up to a further 13 residents in studios under license to occupy arrangements.  On the day of the audit there were 37 residents including 10 residents in the dementia unit (named memory support unit) and 27 rest home residents including; one respite resident and one funded through the long-term support - chronic health conditions (LTS-CHC) who was also under 65 years old.  There were no rest home level funded residents in the license to occupy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Thorrington Village has a strategic plan and business 2019 to 2020.  The plan reflects the special character of faith-based care and to create a culture of respect and treating others well.  A quality plan and annual goals are documented and reviewed though the quality process.  Data such and incidents and accidents and Internal audits are discussed at meetings and reported monthly to the board and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Thorrington Village is managed by an experienced village/quality manager who has been in the role since 2015.  He is supported by a clinical nurse manager/registered nurse (RN), who has been in the role for two years.  They are supported by the general manager for the Archer Group.</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nurse manager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supported by the general manager cover during the temporary absence of the village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general manager and board.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monthly.  Minutes are maintained.  An annual resident and relative survey was in the process of being undertaken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service's policies are reviewed by an external consultant who provides the policies, procedures and the quality programme for the service.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There are clear guidelines and templates for reporting.  The facility has implemented established processes to collect, analyse and evaluate data.  This is utilised for service improvements; action plans are developed when service shortfalls are identified, and these are monitored by group office.  Results are communicated to staff at the monthly staff/quality/risk meetings and reflect actions being implemented and signed off when completed.  Communication to staff is enhanced by daily briefings as well as handovers.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through the quality/risk meetings, weekly clinical meetings, management meetings and through board meetings.  Risk management, hazard control and emergency policies and procedures are in place.  A health and safety representative was interviewed about the health and safety programme.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individual and group exercise programme; meeting individual toileting needs; sensor mats; increased monitoring; identification and meeting of individual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on the electronic system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ten incident/accident forms identified that forms are fully completed and include follow-up by a registered nurse.  However, neurological observations were not evidenced to be consistently completed for unwitnessed falls as per policy (link 1.3.6.1).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and village manager were able to identify situations that would be reported to statutory authorities.  No notifications have been sent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Eight staff files reviewed (the village/quality manager, the clinical nurse manager, one registered nurse, the cook the diversional therapist and three healthcare assistants) included a recruitment process including: reference checking, signed employment contracts and job descriptions,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 training plan is implemented using a variety of methods including ‘train the trainer’ model, on-line learning and traditional training.  Staff are paid to attend training.  Incidental training is provided according to identified need and at staff request.  There is an attendance register for each training session and an individual staff member record of training.</w:t>
            </w:r>
          </w:p>
          <w:p w:rsidR="00EB7645" w:rsidRPr="00BE00C7" w:rsidP="00BE00C7">
            <w:pPr>
              <w:pStyle w:val="OutcomeDescription"/>
              <w:spacing w:before="120" w:after="120"/>
              <w:rPr>
                <w:rFonts w:cs="Arial"/>
                <w:b w:val="0"/>
                <w:lang w:eastAsia="en-NZ"/>
              </w:rPr>
            </w:pPr>
            <w:r w:rsidRPr="00BE00C7">
              <w:rPr>
                <w:rFonts w:cs="Arial"/>
                <w:b w:val="0"/>
                <w:lang w:eastAsia="en-NZ"/>
              </w:rPr>
              <w:t>There are twenty staff including the DT who regularly works in the dementia unit.  Eighteen staff have completed the required NZQA dementia education modules and two staff who have been employed in the last three months, are enrolled on the Careerforce programme including the second DT.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Two of two permanent registered nurses have completed their interRAI training.  There are implemented competencies for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The service has a clinical nurse manager and a village manager Monday to Friday and on call.  There is a second RN on five days a week with an additional EN on four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staffing for ten residents;</w:t>
            </w:r>
          </w:p>
          <w:p w:rsidR="00EB7645" w:rsidRPr="00BE00C7" w:rsidP="00BE00C7">
            <w:pPr>
              <w:pStyle w:val="OutcomeDescription"/>
              <w:spacing w:before="120" w:after="120"/>
              <w:rPr>
                <w:rFonts w:cs="Arial"/>
                <w:b w:val="0"/>
                <w:lang w:eastAsia="en-NZ"/>
              </w:rPr>
            </w:pPr>
            <w:r w:rsidRPr="00BE00C7">
              <w:rPr>
                <w:rFonts w:cs="Arial"/>
                <w:b w:val="0"/>
                <w:lang w:eastAsia="en-NZ"/>
              </w:rPr>
              <w:t>An RN or EN visits each day as well as the clinical nurse manager.  Staff reported that they feel supported by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There is one healthcare assistant on long and one on a short shift for the AM and the PM shifts and one healthcare assistant on nights.</w:t>
            </w:r>
          </w:p>
          <w:p w:rsidR="00EB7645" w:rsidRPr="00BE00C7" w:rsidP="00BE00C7">
            <w:pPr>
              <w:pStyle w:val="OutcomeDescription"/>
              <w:spacing w:before="120" w:after="120"/>
              <w:rPr>
                <w:rFonts w:cs="Arial"/>
                <w:b w:val="0"/>
                <w:lang w:eastAsia="en-NZ"/>
              </w:rPr>
            </w:pPr>
            <w:r w:rsidRPr="00BE00C7">
              <w:rPr>
                <w:rFonts w:cs="Arial"/>
                <w:b w:val="0"/>
                <w:lang w:eastAsia="en-NZ"/>
              </w:rPr>
              <w:t>The rest home is divided into two wings, jointly the two wings have the following staffing for 27 residents; two healthcare assistants in the AM plus the healthcare assistant from the serviced apartments available to assist.  The PM staffing includes two healthcare assistants on long shift and one healthcare assistant on short shift.  The night has two healthcare assistants.</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were attending to call bells in a timely manner as confirmed by all residents interviewed.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caregiver or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there is dementia specific information available.  The admission agreements reviewed meet the requirements of the ARCC contract.  Exclusions from the service are included in the admission agreement.  All seven admission agreements sighted were signed and dated.  Not all residents in the dementia unit had an EPOA on file (link 1.1.10.4).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policies and processes are documented.  Prior to entry all potential residents have a needs assessment completed by the needs assessment and coordination service to assess suitability for entry to the service.  Residents receive an information pack outlining the services able to be provided, the admission process and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they received information prior to admission and had the opportunity to discuss the admission agreement with the care home manager or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two residents self-administering on the day of audit.  There are no standing orders in use.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blister pack system.  Medications are checked on arrival and any pharmacy errors are recorded and fed back to the supplying pharmacy.  Medications are administered by the RN or senior medication competent HCAs.  Medication education has been completed in the last year.  The medication fridge temperature is checked daily.  All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Fourteen medication charts were reviewed (including one respite and long-term chronic care).  Medications are reviewed at least three 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hospitality supervisor who works 0730-1600 Tuesday to Saturday and another cook who works the same hours Sunday to Monday.  There is one kitchenhand in the morning and two in the afternoon.  All have current food safety certificates.  The hospitality supervisor oversees the procurement of the food and management of the kitchen.  There is a well-equipped kitchen and all meals are cooked on site.  Meals are served directly from the kitchen to the dining rooms.  As the dining rooms are small there are two sittings.  Meals going to rooms on trays have covers to keep the food warm.  Special equipment such as lipped plates is available.  On the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on a whiteboard.  The four-weekly menu cycle is approved by a dietitian.  Snacks are available at all times.  All residents and family members interviewed were satisfied with the meals.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was approved on the 23 August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Anyone declined entry is referred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InterRAI assessments had been completed for all six long-term residents whose files were sampled.  Other assessments tools in use were falls risk, pressure injury risk, continence and nutrition.  Care plans sampled were developed on the basis of these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podiatrist, wound care specialist (one chronic wound) and mental health care team for older people.  The care staff interviewed advised that the care plans were easy to follow, and guidelines were clear.  The respite resident had a short stay care plan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stated that they notify family members about any changes in their relative’s health status.  All care plans sampled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were not always consistently completed for unwitnessed falls or falls where residents hit their heads.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occurs as planned.  There are currently four wounds being treated.  One chronic wound (non-facility acquired) has had input from the GP and wound care specialist.  The resident attends a hospital clinic two weekly for a vac dressing.  There are no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vital signs and wounds.  Behaviour charts are available for any residents that exhibit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who oversees the activities programme for the Archer sites.  The facility also has a diversional therapist and a social coordinator.  Both work sixteen hours a week Monday to Friday.  There is also a pool of volunteers.  On the day of audit residents were observed taking part in a church service, participating in exercises, going on a van outing and enjoying interacting with visiting schoolchildren.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in the lounges and hallways.  Residents have the choice of a variety of activities in which to participate, and every effort is made to ensure activities are meaningful and tailored to residents’ needs.  These include exercises, games, quizzes, movies, crafts and walks outside.  Happy hour is every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stay in their room or who need individual attention have one-on-one visits to check if there is anything they need and to have a chat.  Most residents were out of their rooms.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church service.  The facility has a chaplain who works 20 hours a week.  Catholics have a lay volunteer who comes in to give communion (link 1.1.6).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twice weekly van outings.  There are regular entertainers visiting the facility.  Special events like birthdays, Easter, Mothers’ Day, Anzac Day, St Patricks Day and Valentine’s Day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family dogs visit regularly.  One rest home resident has a cat and there is a cat in the memory support unit.  </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pre-schools, schools, and a monthly library visit.  One resident goes out weekly to a friendship group.  The facility also visits other Archer facilities for bowls tournaments.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and the diversional therapist is currently liaising with the RNs so that this is at the same time as the review of the long-term care plan.  Resident meetings are held bi-monthly.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long-term care plans reviewed had been evaluated by the registered nurse six monthly or when changes to care occurs.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are three monthly reviews by the GP for all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and mental health services for older people.  Discussion with the registered nurse identified that the service has access to a wide range of support either through the GP, specialists and allied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One sharps container is available and meets the hazardous substances regulations for containers.  The hazard register identifies hazardous substances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 July 2019.  There is a property manager who manages all Archer sites.  There is a maintenance person on site for 20 hours a week.  Contractors are used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scales are checked annually.  Hot water temperatures have been monitored randomly in resident areas and were within the acceptable range.  The communal lounges, hallways and bedrooms are carpeted in both the rest home and memory support unit.  The utility areas such as the kitchen and laundry have vinyl flooring.  Communal showers and all toilets have nonslip vinyl flooring.  All corridors have safety rails and promote safe mobility with the use of mobility aids.  Residents were observed moving freely around the areas with mobility aids where required.  The external areas and gardens were well maintained.  There is currently scaffolding in some garden areas (due to painting the exterior of the facility including the roof) but all these areas are safely fenced and signposted.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dementia unit is designed so that space and seating arrangements provide for individual and group activities.  There are quiet, low stimulus areas and seating alcoves that provide privacy when required.  There is a safe and secure outside walking and garden area, which is easy for dementia residents to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are sufficient numbers of toilets and bathrooms for the number of residents in the rest home and in the separate dementia unit.  Privacy is maximised in both care settings.  Fixtures, fittings and flooring are appropriate.  Toilet/shower facilities are easy to clean.  There is ample space in toilet and shower areas to accommodate shower chairs if required.  There are privacy signs on all shower/toilet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30 single rooms.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spaces where residents who prefer quieter activities or visitors may sit.  The dining rooms in each area are small so there are two sittings at each meal.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by a laundry worker who works 0730-1600 Monday to Friday and one who works the same hours Saturday and Sunday.  The laundry is divided into a ‘dirty’ and ‘clean’ area.  There is a laundry and cleaning manual.  Cleaning and laundry services are monitored through the internal auditing system.  The cleaners’ equipment was attended at all times or locked away.  All cleaning chemicals were labelled.  There is no sluice room.  Disposal of soiled water and the sluicing of soiled linen are completed in the ‘dirty’ area of the laundry if required.  The laundry is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emergency/civil defence management plan complies with all applicable statutory requirements.  It continues to be reviewed and improved as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approved evacuation plan.  The last fire evacuation drill was held March 2019.  The trial evacuation report letter was sighted.  Staff attendance is recorded in the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Civil defence equipment and resources are available, and this was discussed with the village manager.  The facility has back-up lighting, power and sufficient food, water and personal supplies to provide for its maximum number of residents in the event of a power outage/civil defence emergency.  A gas barbeque is also available.</w:t>
            </w:r>
          </w:p>
          <w:p w:rsidR="00EB7645" w:rsidRPr="00BE00C7" w:rsidP="00BE00C7">
            <w:pPr>
              <w:pStyle w:val="OutcomeDescription"/>
              <w:spacing w:before="120" w:after="120"/>
              <w:rPr>
                <w:rFonts w:cs="Arial"/>
                <w:b w:val="0"/>
                <w:lang w:eastAsia="en-NZ"/>
              </w:rPr>
            </w:pPr>
            <w:r w:rsidRPr="00BE00C7">
              <w:rPr>
                <w:rFonts w:cs="Arial"/>
                <w:b w:val="0"/>
                <w:lang w:eastAsia="en-NZ"/>
              </w:rPr>
              <w:t>Staff are responsible for checking the facility for security purposes on the afternoon and night shifts.  The memory support unit is keypad accessed by staff and family.  External lighting and security systems are adequate for safety and security.</w:t>
            </w:r>
          </w:p>
          <w:p w:rsidR="00EB7645" w:rsidRPr="00BE00C7" w:rsidP="00BE00C7">
            <w:pPr>
              <w:pStyle w:val="OutcomeDescription"/>
              <w:spacing w:before="120" w:after="120"/>
              <w:rPr>
                <w:rFonts w:cs="Arial"/>
                <w:b w:val="0"/>
                <w:lang w:eastAsia="en-NZ"/>
              </w:rPr>
            </w:pPr>
            <w:r w:rsidRPr="00BE00C7">
              <w:rPr>
                <w:rFonts w:cs="Arial"/>
                <w:b w:val="0"/>
                <w:lang w:eastAsia="en-NZ"/>
              </w:rPr>
              <w:t>The nurse call system is appropriate for the size of the facility and call bells are accessible in rooms, communal showers and toilets.</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person who is available 24 hours a day, seven days a week with a current first aid/CPR certificate.  The person who drives the van also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They are currently introducing heat pumps.  Staff and residents interviewed stated that this is effective.  There is an outdoor area where residents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Thorrington Village has a fully implemented infection control programme in place.  The infection control programme, its content and detail, is appropriate for the size, complexity and degree of risk associated with the service.  It is linked into the incident reporting system and benchmarked with other similar facilities.  The clinical nurse manager is the designated infection control nurse and has access to the DHB infection control nurse and microbiologist.  Audits have been conducted and include hand hygiene, infection control practices in the laundry and cleaning service.  Education is provided for all new staff on orientation.  Staff interviewed stated they had adequate supplies of personal protective equipment (PPE).  The infection control programme is reviewed annually by the external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infection control nurse and is aware of the need to analyse data and the reasons behind this.  The infection control data is entered into the electronic system and reviewed monthly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IC nurse has good external support from the local laboratory infection control team and IC nurse specialist at the DHB.  The infection control team is representative of the facility.  Infection prevention and control is included as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an external consultant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Surveillance of all infections is entered on to a monthly infection summary.  This data is monitored and evaluated monthly and annually.  Infections are part of the key performance indicators.  Outcomes and actions are discussed at quality/staff meetings.  If there is an emergent issue, it is acted upon in a timely manner.  Reports are easily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enablers and no residents with restraints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4"/>
        <w:gridCol w:w="1280"/>
        <w:gridCol w:w="4800"/>
        <w:gridCol w:w="3259"/>
        <w:gridCol w:w="17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included a NASC assessment and approval for the level of care including two resident files reviewed in the dementia unit.  EPOA’s were not evident in the two files reviewed from the dementia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two resident files reviewed in the memory support unit (dementia unit) did not have enduring powers of attorney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enduring powers of attorney are obtained and activated for residents in the dementia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HCAs and RNs could describe the incident and accident process and they ensure all incidents are reported.  Progress notes and incident forms document RN follow-up post falls; however, neurological observations were not always documented according to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four falls related incident forms where the resident had recorded a blow to the head; three did not document the neurological observation according to the set timeframes in the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documented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2"/>
        <w:gridCol w:w="1280"/>
        <w:gridCol w:w="3351"/>
        <w:gridCol w:w="61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1.1.6.2</w:t>
            </w:r>
          </w:p>
          <w:p w:rsidR="00EB7645" w:rsidRPr="00BE00C7" w:rsidP="00BE00C7">
            <w:pPr>
              <w:pStyle w:val="OutcomeDescription"/>
              <w:spacing w:before="120" w:after="120"/>
              <w:rPr>
                <w:rFonts w:cs="Arial"/>
                <w:b w:val="0"/>
                <w:lang w:eastAsia="en-NZ"/>
              </w:rPr>
            </w:pPr>
            <w:r w:rsidRPr="00BE00C7">
              <w:rPr>
                <w:rFonts w:cs="Arial"/>
                <w:b w:val="0"/>
                <w:lang w:eastAsia="en-NZ"/>
              </w:rPr>
              <w:t>The consumer and when appropriate and requested by the consumer the family/whānau of choice or other representatives, are consulted on their individual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Archer Care, Thorrington Village was founded with a Christian belief and set of values, and welcomes everyone from all walks of life.  The chaplains have an embedded continued improvement process of offering pastoral care to the residents and their family who requests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Thorrington Village, as part of their faith-based culture aim to provide support and pastoral care to all the residents and family members who reside in the home.  Chaplaincy services are rostered for 20 hours a week and provide on call services.  On the day of audit, the chaplaincy service was providing additional support in the wake of recent Christchurch events, this included a special service and one-on-one support to some residents who required additional assistance.</w:t>
            </w:r>
          </w:p>
          <w:p w:rsidR="00EB7645" w:rsidRPr="00BE00C7" w:rsidP="00BE00C7">
            <w:pPr>
              <w:pStyle w:val="OutcomeDescription"/>
              <w:spacing w:before="120" w:after="120"/>
              <w:rPr>
                <w:rFonts w:cs="Arial"/>
                <w:b w:val="0"/>
                <w:lang w:eastAsia="en-NZ"/>
              </w:rPr>
            </w:pPr>
            <w:r w:rsidRPr="00BE00C7">
              <w:rPr>
                <w:rFonts w:cs="Arial"/>
                <w:b w:val="0"/>
                <w:lang w:eastAsia="en-NZ"/>
              </w:rPr>
              <w:t>The regular services and one-on-one counselling have been welcomed by residents and their families, and this was evidenced through meeting minutes and also a range of ‘thank you cards’.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infection reports are completed, and any trends identified are discussed at the clinical and infection control meetings.  Infection control results and data are reviewed, and a quality improvement plan is developed for any trends identified and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benchmarks infections and compared against an industry norm.  The service noted that urinary tract infections had been above the higher limit for November.  An action plan was documented.  This is included an emphasis on education for staff and also for residents.  Additional fluid rounds were commenced.  The UTIs have reduced since November with a continued downward trend and have remained less than the industry norm since, with only two (per occupied bed day) for February 2019.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Thorrington Village Limited - Thorrington Village</w:t>
    </w:r>
    <w:bookmarkEnd w:id="58"/>
    <w:r>
      <w:rPr>
        <w:rFonts w:cs="Arial"/>
        <w:sz w:val="16"/>
        <w:szCs w:val="20"/>
      </w:rPr>
      <w:tab/>
      <w:t xml:space="preserve">Date of Audit: </w:t>
    </w:r>
    <w:bookmarkStart w:id="59" w:name="AuditStartDate1"/>
    <w:r>
      <w:rPr>
        <w:rFonts w:cs="Arial"/>
        <w:sz w:val="16"/>
        <w:szCs w:val="20"/>
      </w:rPr>
      <w:t>21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