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Komal Holdings Limited - Bloomfield Court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Komal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Bloomfield Court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March 2019</w:t>
      </w:r>
      <w:bookmarkEnd w:id="7"/>
      <w:r w:rsidRPr="009418D4">
        <w:rPr>
          <w:rFonts w:cs="Arial"/>
        </w:rPr>
        <w:tab/>
        <w:t xml:space="preserve">End date: </w:t>
      </w:r>
      <w:bookmarkStart w:id="8" w:name="AuditEndDate"/>
      <w:r w:rsidR="00A4268A">
        <w:rPr>
          <w:rFonts w:cs="Arial"/>
        </w:rPr>
        <w:t>19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Bloomfield Court Retirement Home is owned by Komal Holdings Limited and provides care for up to 27 residents requiring rest home level care.  On the day of audit there were 21 residents.  </w:t>
      </w:r>
    </w:p>
    <w:p w:rsidRPr="00A4268A">
      <w:pPr>
        <w:spacing w:before="240" w:line="276" w:lineRule="auto"/>
        <w:rPr>
          <w:rFonts w:eastAsia="Calibri"/>
        </w:rPr>
      </w:pPr>
      <w:r w:rsidRPr="00A4268A">
        <w:rPr>
          <w:rFonts w:eastAsia="Calibri"/>
        </w:rPr>
        <w:t>The service is managed by a nurse manager who is supported by the owner and a full-time enrolled nurse.  Residents and families interviewed were complimentary of the care and support provided.  Staff turnover remains low.</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This certification audit identified areas for improvement relating to the annual performance appraisals, progress notes and medicine management and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Bloomfield Court Retirement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families identified that they are informed of changes in their family member’s health status.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Bloomfield Court Retirement Home is establishing a quality and risk programme.  Progress with the quality and risk management programme is monitored through the two-monthly management/quality improvement and general staff meetings.  Data is collected on complaints, accidents, incidents, infection control and restraint use.  The internal audit schedule for 2019 is being completed as per the schedule.  There is a business plan for 2019-2021 in place.  Resident/relative meetings are held two-monthly.  There are human resources policies including recruitment, job descriptions, selection, orientation and staff training and development.  The service has an orientation programme that provides new staff with relevant information for safe work practice.  The service has an annual training plan for in-service education.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nurse manager is responsible for each stage of service provision.  Care plans viewed demonstrated service integration and are reviewed at least six monthly.  Resident files include medical notes by the contracted general practitioner and visiting allied health professionals.  Medication policies reflect legislative requirements and guidelines.  Staff responsible for the administration of medicines complete education and medication competencies.  Medication charts are reviewed three monthly by the general practitioner.  The activities coordinator and staff implement the activity programme to meet the individual needs, preferences and abilities of the residents.  Residents are encouraged to maintain community links.  There are regular entertainers, outings, and celebrations.  Residents and families reported satisfaction with the activities programme.  All meals are cooked on-site.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some have shared ensuites.  There is sufficient space to allow the movement of residents around the facility using mobility aids.  There is a lounge and dining area in the facility.  There were adequate communal toilets and showers.  The internal areas are adequately ventilated and heated.  The outdoor areas are safe and easily accessible.  Cleaning, laundry and maintenance services are maintained.  Emergency and disaster management systems are in place in the event of a fire or external disaster.  There are staff on duty 24/7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Bloomfield Court Retirement Home has restraint minimisation and safe practice policies and procedures in place.  There were no residents requiring the use of a restraint or enabler.  Staff have received training in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There is a suite of infection control policies and guidelines to support practice.  Standardised definitions are used for the identification and classification of infection events.  The infection control coordinator is responsible for coordinating education and training for staff.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81"/>
        <w:gridCol w:w="1280"/>
        <w:gridCol w:w="89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five care staff, including one nurse manager, one enrolled nurse (EN) two caregivers and one activities officer confirmed their familiarity with the Code.  Six residents and two-family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Bloomfield Court Retirement Home has in place a policy for informed consent and advance directives.  Advance directives and/or resuscitation status are signed for separately by the competent resident.  Completed advance directive and resuscitation forms were evident on five resident files reviewed.  General consent forms were evident on files reviewed.  Caregivers and the nurse manager and EN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reception area.  The information pack provided to residents prior to entry includes advocacy information.  The information identifies who the resident can contact to access advocacy services.  Staff were aware of the right for advocacy and how to access and provide advocate information to residents if needed.  Residents and family members that were interviewed were aware of their access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 forms are available at the service entrance.  Information about complaints is provided on admission.  Interviews with residents and relatives confirmed an understanding of the complaints process.  There have been four complaints made in 2018 and one complaint received in 2019 year to date (this complaint is still open and ongoing).  The five complaints reviewed have been managed appropriately with acknowledgements, investigation and responses recorded.  Family members stated that the new management team work with them to ensure they are happy with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and advocacy pamphlets are located at the main entrance of the service.  On admission the nurse manager or EN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informed about the Code.  Staff receive training on the Code which was last completed in February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Residents and relatives interviewed reported that residents are able to choose to engage in activities and access community resources.  There is an abuse and neglect policy in place.  Staff receive training on abuse and neglect which was last completed in November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guidelines for the provision of culturally safe services for Māori residents.  On the day of the audit there were no residents that identified as Māori.  The service has established links with the local Nga Hau e Wha National Marae.  Staff confirmed they are aware of the need to respond appropriately to maintain cultural safety.    Staff receive training on cultural safety and Treaty of Waitangi which was last completed in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activity goal setting includes consideration of spiritual, psychological and social needs.  Residents and family members interviewed indicated that they are asked to identify any spiritual, religious and/or cultural beliefs.  Family members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 of service delivery in the facility.  Staffing policies include pre-employment, the requirement to attend orientation and ongoing in-service training.  The nurse manager is responsible for coordinating the internal audit programme.  Two-monthly management/quality improvement meetings, general staff meetings and resident/relative meetings are conducted.  Residents and relatives interviewed spoke positively about the care and support provided.  Staff interviewed stated that they feel supported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Residents and family are informed prior to entry of the scope of services and any items they have to pay for that are not covered by the agreement.  Information is provided in formats suitable for the resident and their family.  Residents and relatives interviewed confirmed that management and staff are approachable and available.  Twelve incident forms reviewed identified family were notified following a resident incident.  Relatives interviewed confirmed they are notified of any incidents/accidents.  Families are invited to attend the two-monthly resident/relative meeting.  The service has policies and procedures available for access to interpreter services for residents (and their family).  If residents or family/whānau has difficulty with written or spoken English, then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Bloomfield Court Retirement Home is owned by Komal Holdings Limited and provides care for up to 27 residents requiring rest home level care.  On the day of audit there were 21 rest home residents.  All residents are under the age related residential care (ARRC) agreement.  The owner purchased Bloomfield Court Retirement Home in June 2015.  The owner closely supports the nurse manager who has the responsibility of the daily operations, and oversees the delivery of services.  The nurse manager is supported by a full-time EN.  The previous nurse manager is also available when the nurse manager is absent and completes part-time administration duties.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for 2019-2021 in place.  Goals identified included (but are not limited to): upgrade the accommodation and environment, and provide quality training in the areas of care services.  There have been environmental improvements and purchase of new equipment.  The refurbishing plan is ongoing.  Staff interviewed confirmed the communication levels are good and the staff work together as a team.  Residents and families interviewed spoke highly of the staff and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attended at least eight hours of training relating to the management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reported that in the event of her temporary absence the previous nurse manager will fill the role with support from the EN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Bloomfield Court Retirement Home has an established quality and risk management programme.  Progress with the quality and risk management programme is being monitored through the two-monthly management/quality improvement and general staff meetings.  Data is collected on accident/incidents, infection control, complaints and restraint use and entered into an online system which provides reports graphs and trends.  The data is then benchmarked against other similar facilities.  Staff interviewed were aware of quality data results and any corrective actions required.  Meeting minutes have been maintained and staff are expected to read the minutes.  Minutes for all meetings have included actions to achieve compliance where relevant.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provide a good level of assurance that the facility is meeting accepted good practice and adhering to relevant standards, including those standards relating to the Health and Disability Services (Safety) Act 2001.  An external provider provides updates and reviews with the nurse manager conducting further reviews to ensure that each policy aligns with the service.  New policies or changes to policy are communicated to staff.  An annual internal audit schedule was sighted for the service with evidence of internal audits occurring as per the audit schedule.  Corrective actions are implemented when required and are signed off by the nurse manager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last resident/relative survey was conducted in March 2018.  Comments were positive with residents/relatives indicating a strong sense of satisfaction of the overall service being provided.  Residents/families were surveyed around resident care and likes/dislikes, cultural awareness, grounds, environment cleanliness, staffing, activities programme and quality of meals.  There is a health and safety and risk management system in place including policies to guide practice.  The nurse manager was interviewed about the health and safety process.  There is a current hazard register in place which was last updated on 12 March 2019.  Staff confirmed they are kept informed on health and safety matters at the quality/staff meetings.  Fall prevention strategies are in place that include the analysis of fall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Twelve accident/incident forms were reviewed for January and February 2019.  All document timely RN review and follow-up.  Neurological observation forms were documented and completed for three unwitnessed falls with a potential head injury.  There is documented evidence the family had been notified of any incidents.  Discussions with the nurse manager confirmed an awareness of the requirement to notify relevant authorities in relation to essential notifications including section 31 notifications.  There have been no section 31 notifications lodged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(one nurse manager, one EN, two caregivers and one activities officer) were reviewed.  The recruitment and staff selection process require that relevant checks are completed to validate the individual’s qualifications, experience and suitability for the role.  However not all performance appraisals have been completed annually as required.  A current practising certificate was sighted for the nurse manager and 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to provide new staff with relevant information for safe work practice.  Staff interviewed stated that they believed new staff are adequately orientated to the service.  The nurse manager, EN and caregiver’s complete competencies relevant to their role such as medications.  There is an annual education planner in place that covers compulsory education requirements over a two-year period.  The nurse manager has completed interRAI training and attended education sessions at the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21 of 27 rest home residents.  The nurse manager and EN are supported by two caregivers (one long and one short shift) on the morning, two caregivers (one long and one short shift) on the afternoon shift, and one caregiver on the night shift.  Residents and relatives interviewed stated there is adequate staff on duty and that staff were helpful and caring.  Staff stated they feel supported by the nurse manager and EN who respond quickly to after-hours calls.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is able to be referenced and retrieved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Potential residents are assessed as suitable for rest home care prior to admission.  Residents receive an information pack outlining services able to be provided, the admission process and entry to the service.  The admission agreements reviewed meet the requirements of the ARRC contract.  Exclusions from the service are included in the admission agreement.  All five admission agreements viewed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transfer/discharge/exit policy and procedures in place.  Residents who require emergency admissions to hospital are managed appropriately and relevant information is communicated to the DHB using the yellow envelope system.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all aspects of medication management, including self-administration.  There were two residents self-administering on the day of audit and both files demonstrated three-monthly competency assessments signed by the GP.  The facility uses blister packs for the packaging of all medications.  Medications are checked on arrival and any pharmacy errors recorded and fed back to the supplying pharmacy.  The nurse manager, enrolled nurse and senior caregivers administer medication.  Medication competencies are updated annually, and staff attend annual education.  The medication fridge temperature is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use a paper-based medication management system and sign for the administration of medication.  Ten medication charts were reviewed and evidenced not all ‘as required’ medication documentation was completed as required.  Controlled drug administration was documented in the controlled drug register, however not all documentation was completed as required.  Medications have been reviewed at least three monthly by the GP.  Photo ID and allergy status are recorded.  ‘As required’ medications have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functional kitchen and all food is cooked on site.  A verified food control plan is implemented with an expiry date of 23 February 2020.  There is a food service manual in place to guide staff.  A resident dietary profile is developed for each resident on admission and is provided to the kitchen staff.  The kitchen is able to meet the needs of residents who require special diets and the cook works closely with the RN.  All kitchen staff have completed food safety training.  The cooks follow a rotating menu, which has been reviewed by a dietitian.  The temperatures of refrigerators, freezers and cooked foods have been routinely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contain appropriate assessment tools and assessments that have been reviewed at least six monthly or when there was a change to a resident’s health condition.  Residents who presented with a change in health were reviewed and identified prompt communication with the GP when indicated.  The GP confirmed he was contacted in a timely manner.  The interRAI assessment tool is implemented.  InterRAI assessments have been completed for all long-term residents.  Care plans sampled have been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resident files reviewed described the supports required to meet the resident’s goals and needs.  Residents and their family/whānau interviewed, reported that they are involved in the care planning and review process.  Short-term care plans (STCP) are in use for changes in health status and had been evaluated on a regular basis and signed off as resolved or transferred to the long-term care plan if an ongoing problem.  There is evidence of service integration with documented input from a range of specialist care professionals including: the podiatrist, physiotherapist and dietitian.  The care staff advise that the care plans are clear and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and fluid charts, staff interviews, observation of staff and equipment and progress notes sighted indicated that appropriate interventions are provided as documented in care plans.  The caregivers report progress against the care plan each shift.  If external nursing or allied health advice is required the nurse manager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w:t>
            </w:r>
          </w:p>
          <w:p w:rsidR="00EB7645" w:rsidRPr="00BE00C7" w:rsidP="00BE00C7">
            <w:pPr>
              <w:pStyle w:val="OutcomeDescription"/>
              <w:spacing w:before="120" w:after="120"/>
              <w:rPr>
                <w:rFonts w:cs="Arial"/>
                <w:b w:val="0"/>
                <w:lang w:eastAsia="en-NZ"/>
              </w:rPr>
            </w:pPr>
            <w:r w:rsidRPr="00BE00C7">
              <w:rPr>
                <w:rFonts w:cs="Arial"/>
                <w:b w:val="0"/>
                <w:lang w:eastAsia="en-NZ"/>
              </w:rPr>
              <w:t>Specialist continence advice is available as needed and this could be described.  Wound monitoring was in place for five residents, four with one wound each and one with multiple areas (included two residents with skin tears, one with a single lesion, one resident with multiple lesions, and one with calloused skin also under podiatry care).  All wounds had assessments and management plans.  All wounds have been reviewed in appropriate timeframes.  The service has access to specialist nursing wound care management advice through the district nursing service.  Interviews with the nurse manager, EN and caregivers demonstrated an understanding of the individualised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coordinator is employed to operate the activities programme for all residents.  Each resident has an individual activities assessment on admission and from this information, an individual activities plan has been developed by the activities coordinator.  Each resident is free to choose whether they wish to participate in the group activities programme or their individual plan.  Participation is monitored.  All long-term resident files sampled have a recent activities plan, and this is evaluated at least six monthly when the care plan is evaluated.   </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reflect ordinary patterns of life and include regular Baptist, Presbyterian, Methodist and Anglican church services, exercises, daily exercise sessions, word and quiz games and art and craft.  There are van outings once a week.  There are regular entertainers visiting the facility.  Special events like birthdays, Easter, Mothers’ Day and Anzac Day are celebrated.  Community group visits include the local school and kindergarten.  Outings to musical events as provided by the Christchurch Theatre Workshop and the local RSA are facilitated.  Those residents who prefer to stay in their room have one-on-one visits to check if there is anything they need and to have a chat.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and/or enrolled nurse evaluate all initial care plans within three weeks of admission.  Files sampled demonstrated that the long-term nursing care plan has been evaluated at least six-monthly or earlier if there was a change in health status.  There was at least a three-monthly review by the GP.  Short-term care plans sighted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dietitian and physiotherapist.  Discussion with the nurse manager and EN confirmed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Management of waste and hazardous substances is covered during orientation and staff have attended chemical safety training.  All chemicals are clearly labelled with manufacturer’s labels and stored in locked areas.  Safety datasheets and product sheets are available.  Sharps containers are available.  The hazard register identifies hazardous substances and staff indicate a clear understanding of processes and protocols.  Gloves, aprons, and goggles or facemasks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that expires on 20 June 2019.  Regular and reactive maintenance occurs.  Hot water temperatures are checked monthly and corrective actions implemented if required.  Medical equipment and electrical appliances have been tested, tagged and calibrated.  Residents were observed to mobilise safely within the facility.  There are sufficient seating areas throughout the facility.  The exterior has been well maintained with safe paving, outdoor shaded seating, lawn and gardens.  Interviews with staff confirmed there was adequate equipment to provide safe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occupancy.  Five rooms have full ensuite, with a further twelve rooms having a toilet and hand basin shared between two rooms, and shared shower room facilities.  There were sufficient numbers of resident communal showers in close proximity to resident rooms and communal areas.  Visitor toilet facilities were available.  Residents interviewed stated their privacy and dignity is maintained while attending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of sufficient size to allow care to be provided and the safe use of mobility aids.  Staff reported that there is adequate space to provide care to residents.  Residents are encouraged to personalise their bedrooms as viewed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dining room, library and small seating areas in the facility.  The dining room is spacious and located directly off the kitchen area.  All areas are easily accessible for the residents.  The furnishings and seating are appropriate for the consumer group.  Residents interviewed reported they were able to move around the facility and staff assisted them when required.  Activities take place in any of the lounge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services are monitored through the internal auditing system.  There is a separate laundry area where all linen and personal clothing is laundered by caregivers.  Staff have attended infection control education and there was appropriate protective clothing available.  Residents and family interviewed reported satisfaction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emergency and disaster management plan in place to ensure health, civil defence and other emergencies are included.  A fire evacuation plan is in place that has been approved by the New Zealand Fire Service in January 2018.  Six-monthly fire evacuation practice documentation was sighted, with the last fire evacuation drill occurring on 4 December 2018.  There are adequate supplies available in the event of a civil defence emergency including sufficient food, blankets and alternate gas cooking (BBQ and gas bottle).  There is sufficient water storage (two water tanks, 400 litres in total).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supplies and first aid kits available that are checked on a regular basis.  Emergency equipment is available at the facility.  Short-term backup power for emergency lighting is in place.  A minimum of one person trained in first aid and cardiopulmonary resuscitation (CPR) is available at all times.  The nurse manager and EN hold current first aid certificates.  There is a call bell system in place and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All areas are appropriately heated as confirmed on interviews with staff and residents.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the designated infection control coordinator with support from the EN and all staff.  The infection control coordinator oversees infection control for Bloomfield Court Retirement Home and is responsible for the collation of infection events.  The infection control coordinator has a defined job description.  Infection events are collated monthly and reported to all staff at regular meetings.  Internal audits have been conducted and include hand hygiene and infection control practices.  Education is provided for all new staff on orientation and at annual training sessions.  The infection control programme has been developed by an external contractor, reviewed annually and is linked to the quality system.  Visitors are asked not to visit if unwell.  Hand sanitisers are appropriately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infection control and prevention control education, including training at the DHB and at a session organised by the external contractor.  The infection control coordinator and team (comprising all staff) has external support from the local laboratory infection control team and IC coordinator specialist at the DHB.  Infection prevention and control is part of staff orientation and induction.  Hand washing facilities are available throughout the facility and alcohol hand gel is freely available.  There is access to infection control expertise within the DHB, wound nurse specialist, public health, laboratory, GPs and an external infection control consultant.  The GP monitors the use of antibiotics.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 infection control manual outlines a range of policies, standards and guidelines and includes defining roles, responsibilities and oversight, the infection control team and training and education of staff.  The policies were developed by an external contractor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coordinator/nurse manager oversees infection surveillance for Bloomfield Court Retirement Home.  Surveillance is an integral part of the infection control programme and is described in the infection control manual.  Monthly infection data is collected for all infections based on standard definitions as described in the surveillance policy.  Results from laboratory tests are available monthly.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Bloomfield Court Retirement Home has restraint minimisation and safe practice policies and procedures in place.  Policies and procedures include definition of restraint and enabler that are congruent with the definition in NZS 8134.0.  There were no residents requiring restraint or enablers at the time of the audit.  The service is committed to maintaining a restraint free environment.  Staff receive training on restraint minimisation, last occurring in September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52"/>
        <w:gridCol w:w="1280"/>
        <w:gridCol w:w="5739"/>
        <w:gridCol w:w="1730"/>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(one nurse manager, one EN, two caregivers and one activities officer) were reviewed.  The recruitment and staff selection process require that relevant checks are completed to validate the individual’s qualifications, experience and suitability for the role.  However not all performance appraisals have been completed annually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staff annual performance appraisals due to be completed in 2018 had not been completed at the time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where required complete an annual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required’ medication prescribing includes the reason for administration and frequency.  The medication competent staff administer ‘as required’ medication based on the residents needs and record effectiveness of the medication.  The time of administration of ‘as required’ documentation is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ten medication signing sheets reviewed did not always document the time PRN medication was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time of administration of ‘as required’ medication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is completed for all controlled drug administration.  The controlled drug register records details of administration and weekly stocktakes, however not all documentation was completed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Several entries in the controlled drug register did not document the time of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ii) Controlled drug stocktakes were not documented weekly.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 controlled drug register documents the time of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ii) Ensure controlled drug stocktakes occur weekly.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staff document in the resident’s progress notes each shift and document all relevant activities.  The EN or nurse manager document following significant changes in health but does not always document regular resident reviews.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progress notes do not always reflect RN and EN entries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progress notes reflect regular RN review.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Komal Holdings Limited - Bloomfield Court Retirement Home</w:t>
    </w:r>
    <w:bookmarkEnd w:id="58"/>
    <w:r>
      <w:rPr>
        <w:rFonts w:cs="Arial"/>
        <w:sz w:val="16"/>
        <w:szCs w:val="20"/>
      </w:rPr>
      <w:tab/>
      <w:t xml:space="preserve">Date of Audit: </w:t>
    </w:r>
    <w:bookmarkStart w:id="59" w:name="AuditStartDate1"/>
    <w:r>
      <w:rPr>
        <w:rFonts w:cs="Arial"/>
        <w:sz w:val="16"/>
        <w:szCs w:val="20"/>
      </w:rPr>
      <w:t>19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