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Ativas Limited - Cairnfield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Ativas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Cairnfield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March 2019</w:t>
      </w:r>
      <w:bookmarkEnd w:id="7"/>
      <w:r w:rsidRPr="009418D4">
        <w:rPr>
          <w:rFonts w:cs="Arial"/>
        </w:rPr>
        <w:tab/>
        <w:t xml:space="preserve">End date: </w:t>
      </w:r>
      <w:bookmarkStart w:id="8" w:name="AuditEndDate"/>
      <w:r w:rsidR="00A4268A">
        <w:rPr>
          <w:rFonts w:cs="Arial"/>
        </w:rPr>
        <w:t>19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Cairnfield House has reconfigured the certified services by the addition of one new room to be utilised as a dual-purpose room (hospital/rest home).  This audit has verified the change of the configuration of services to a total of 88 beds consisting of; 20 hospital beds, 26 rest home beds and 42 dual service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Cairnfield House is certified to provide rest home and hospital (geriatric and medical) level care for up to 88 residents.  On the day of audit, there were 81 residents living at the facility.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a review of policies and procedures; a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facility manager is supported by the director and clinical manager (registered nurse) who provides oversight of clinical care.</w:t>
      </w:r>
    </w:p>
    <w:p w:rsidRPr="00A4268A">
      <w:pPr>
        <w:spacing w:before="240" w:line="276" w:lineRule="auto"/>
        <w:rPr>
          <w:rFonts w:eastAsia="Calibri"/>
        </w:rPr>
      </w:pPr>
      <w:r w:rsidRPr="00A4268A">
        <w:rPr>
          <w:rFonts w:eastAsia="Calibri"/>
        </w:rPr>
        <w:t>The service has addressed two previous certification shortfalls around corrective actions, and adverse events.</w:t>
      </w:r>
    </w:p>
    <w:p w:rsidRPr="00A4268A">
      <w:pPr>
        <w:spacing w:before="240" w:line="276" w:lineRule="auto"/>
        <w:rPr>
          <w:rFonts w:eastAsia="Calibri"/>
        </w:rPr>
      </w:pPr>
      <w:r w:rsidRPr="00A4268A">
        <w:rPr>
          <w:rFonts w:eastAsia="Calibri"/>
        </w:rPr>
        <w:t>The service has addressed seven of ten previous partial provisional audit shortfalls around self-administration of medication for residents, aspects of the building requirements, fire evacuation training, and call bells.  Improvements continue to be required around staff training, timeframes for interRAI assessments, and wound documentation.</w:t>
      </w:r>
    </w:p>
    <w:p w:rsidRPr="00A4268A">
      <w:pPr>
        <w:spacing w:before="240" w:line="276" w:lineRule="auto"/>
        <w:rPr>
          <w:rFonts w:eastAsia="Calibri"/>
        </w:rPr>
      </w:pPr>
      <w:r w:rsidRPr="00A4268A">
        <w:rPr>
          <w:rFonts w:eastAsia="Calibri"/>
        </w:rPr>
        <w:t>Additional improvements identified at this audit are to ensure that the kitchen and staff are informed of dietary requirements; updating of care plans as changes occur and the activity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are provided with information they need on entry to the service and this is regularly updated.  Interviews with residents and family confirmed they are provided with adequate information and that communication is open.  Residents are informed of the complaints process and there are policies and procedures in place to investigate complaints with these investigated in a timely manner.  A register of complaints is kept.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Cairnfield House is a residential care facility with leadership and management provided by the facility manager, who is a non-clinical manager, and the clinical manager. </w:t>
      </w:r>
    </w:p>
    <w:p w:rsidRPr="00A4268A">
      <w:pPr>
        <w:spacing w:before="240" w:line="276" w:lineRule="auto"/>
        <w:rPr>
          <w:rFonts w:eastAsia="Calibri"/>
        </w:rPr>
      </w:pPr>
      <w:r w:rsidRPr="00A4268A">
        <w:rPr>
          <w:rFonts w:eastAsia="Calibri"/>
        </w:rPr>
        <w:t xml:space="preserve">There is an implemented quality and risk management programme.  Adverse, unplanned, and untoward events are documented by staff and reviewed by the clinical manager.  All aspects of the quality programme are discussed at relevant meetings.  The health and safety programme is implemented. </w:t>
      </w:r>
    </w:p>
    <w:p w:rsidRPr="00A4268A">
      <w:pPr>
        <w:spacing w:before="240" w:line="276" w:lineRule="auto"/>
        <w:rPr>
          <w:rFonts w:eastAsia="Calibri"/>
        </w:rPr>
      </w:pPr>
      <w:r w:rsidRPr="00A4268A">
        <w:rPr>
          <w:rFonts w:eastAsia="Calibri"/>
        </w:rPr>
        <w:t xml:space="preserve">Human resources are documented.  An orientation programme is in place for new staff.  Staffing is provided to support number and acuity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are developed by the registered nurses who have documented responsibility for maintaining and reviewing care plans.  Care plans reviewed were individually developed with the resident, and family/whānau involvement is included where appropriate, they are evaluated six-monthly.  </w:t>
      </w:r>
    </w:p>
    <w:p w:rsidRPr="00A4268A" w:rsidP="00621629">
      <w:pPr>
        <w:spacing w:before="240" w:line="276" w:lineRule="auto"/>
        <w:rPr>
          <w:rFonts w:eastAsia="Calibri"/>
        </w:rPr>
      </w:pPr>
      <w:r w:rsidRPr="00A4268A">
        <w:rPr>
          <w:rFonts w:eastAsia="Calibri"/>
        </w:rPr>
        <w:t xml:space="preserve">There is a medication management system in place that follows appropriate administration and storage practices.  Each resident is reviewed at least three-monthly by their general practitioner.  </w:t>
      </w:r>
    </w:p>
    <w:p w:rsidRPr="00A4268A" w:rsidP="00621629">
      <w:pPr>
        <w:spacing w:before="240" w:line="276" w:lineRule="auto"/>
        <w:rPr>
          <w:rFonts w:eastAsia="Calibri"/>
        </w:rPr>
      </w:pPr>
      <w:r w:rsidRPr="00A4268A">
        <w:rPr>
          <w:rFonts w:eastAsia="Calibri"/>
        </w:rPr>
        <w:t xml:space="preserve">An activity programme is documented and displayed.  This focuses on group activities for residents with two activities coordinators providing oversight of the programme.  </w:t>
      </w:r>
    </w:p>
    <w:p w:rsidRPr="00A4268A" w:rsidP="00621629">
      <w:pPr>
        <w:spacing w:before="240" w:line="276" w:lineRule="auto"/>
        <w:rPr>
          <w:rFonts w:eastAsia="Calibri"/>
        </w:rPr>
      </w:pPr>
      <w:r w:rsidRPr="00A4268A">
        <w:rPr>
          <w:rFonts w:eastAsia="Calibri"/>
        </w:rPr>
        <w:t>All meals are prepared on site.  There is a seasonal menu in place, which is reviewed by a dietitian.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Emergency and security systems are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 training around restraint minimisation and the management of challenging behaviour.  The service has maintained a restraint free environment.  There is one bedrail in place with this identified as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 surveillance programme is documented and undertaken, and this is appropriate to the size and complexity of the service.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entry to the service.  Complaints forms are located at reception.  A register of all complaints received is maintained.  Three complaints were received in 2018 and none to date in 2019.  A review of two complaints confirmed that the register was updated as complaints were received, that each complaint was processed in timeframes documented in policy and both showed that the complainants were happy with the outcome.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families confirmed they were provided with information on the complaints process.  All stated that they would raise any concerns or issues they had with the managers or with the registered nurses and all felt they would be resolved promptly.  There was a high level of satisfaction expressed by family and residents interviewed.  Thirteen residents were interviewed including eight identified as using rest home level of care (three were young people under the age of 65 years; two were using respite level of care) and five requiring hospital level of care (including one identified under a contract for long-term support for chronic health conditions who was also a young person under the age of 65 years).  Residents stated that they could complain and felt they would be heard.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made by external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The policy also describes that open disclosure is part of everyday practice.  The care staff interviewed (including five healthcare assistants who work across all shifts, four registered nurses and the clinical manager) could describe the process for open disclosure and stated that they provided information and resource material to residents and family when required.  Evidence of communication with family/whānau is recorded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(three including two with family in the hospital and one with a family member in the rest home identified as a young person with a disability) confirmed they are kept informed of the resident’s status, including any events adversely affecting the resident.  Ten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citizens advice bureau.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owned by Ativas Limited and is managed by a facility manager.  Cairnfield House has reconfigured the service to include the addition of one new room utilised as a dual-purpose room (hospital/rest home) as per agreement from the Ministry of Health dated 7 February 2019.  This audit has verified the appropriateness of the room to function as a dual-purpose room with a change of the configuration of services to a total of 88 beds consisting of; 20 hospital beds, 26 rest home beds and 42 dual service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Occupancy on the day of the audit was as follows: 35 at rest home level (including four using respite care, one funded through the Long-term Support Chronic Health Conditions contract and one under an Accident Compensation Corporation contract); 46 hospital level (including two funded under the Long-term Support Chronic Health Conditions contract).  Included in the numbers of residents, there were a total of seven residents under the age of 65 years including four using respite level of care, one ACC client and two under the Long-term Support Chronic Health Conditions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Cairnfield House has an overall business and continuous improvement plan in place for the current year with the previous plan reviewed prior to the new one being developed.  A philosophy of care, which includes a mission statement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the role for five years and they report weekly to the owner on a variety of operational issues.  The owner is on site at least weekly and usually daily.  The facility manager has completed more than eight hours of professional development in the past 12 months with management training included in this.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supported by a clinical manager who is a senior registered nurse with a current practising certificate.  They have completed at least eight hours of professional development relevant to the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established.  Interviews with the managers and staff (including nine care staff, maintenance staff, the cook and an activities coordinator) reflect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Policies are reviewed two yearly or as changes to legislation occurs.  They are communicated to staff, as evidenced in staff meeting minutes.  A document control system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resident and family meetings are conducted.  These are held monthly prior to the staff meeting with minutes documented for each meeting.  Annual resident and relative surveys are completed with a high level of satisfaction noted in the survey report from family and residents documented in May and October 2018.  The resident and family meeting minutes showed that family and residents had been informed of the results.  There was evidence of improvements identified in the survey made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Systems are implemented for the collection, analysis and evaluation of quality data.  A range of data (eg, falls, pressure injuries, challenging behaviours, infections) is collected across the service.  An annual internal audit schedule is documented, with evidence of internal audits occurring as per the audit schedule.  Quality and risk data, including trends in data are benchmarked.  Meeting minutes reviewed identified follow through actions on quality data/trends and results of internal audits.  Corrective actions are implemented when service shortfalls are identified and signed off when completed.  Data is collated and analysed with graphs displayed and discussion of results evident across a range of meetings held at regular intervals.  A review of data confirmed that any issue or improvement is signed off as being resolved.  The improvement required at the certification audit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through the three-monthly health and safety and infection control committee meetings.  A health and safety officer is appointed.  Risk management, hazard control and emergency policies and procedures are in place.  There are procedures to guide staff in managing clinical and non-clinical emergencies with staff able to describe responses to and management of any emergency as per policy.  The service documents and analyses incidents/accidents, unplanned or untoward events and provides feedback to the service and staff so that improvements are made.  Falls prevention strategies are in place including physiotherapy input, sensor mats to alert when a resident is up and exercise programmes.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accidents and incidents reporting policy is in place.  There was evidence to support actions are undertaken to minimise the number of incidents.  Ten accident and incident forms were reviewed.  Neurological observations of a resident are documented as being completed following an unwitnessed fall.  The improvement required at the previous audit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linked to the quality and risk management programme and accident and incident forms are completed for the current pressure injuries.  The improvement required at the previous audit has been completed.  Staff are kept informed in a timely manner regarding accidents and incidents and the implementation of strategies to reduce the number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aware of the requirement to notify relevant authorities in relation to essential notifications.  A section 31 notification has been completed for pressure injuries identified on the day of audit (three grade three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manager can identify a range of situations that required reporting to statutory authorities.  The facility manager confirmed that there were no cases presented to the coroner for review for residents in the care centre or to any other external agency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 that relevant checks be completed to validate the individual’s qualifications and experience and a review of staff files confirmed that this is completed.  Copies of practising certificates are kept on site with these current for health professionals on site and for those visiting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in place that provides new staff with relevant information for safe work practice.  There is an in-service education programme in place for which a record of attendance is kept.  Healthcare assistants’ complete qualifications in a nationally recognised aged care education programme.  The facility manager, clinical manager and registered nurses attend external training, including sessions provided by the local DHB.  An annual training plan is documented.  The improvement required at the previous audit remains, however the service has put in strategies to improve attendance.  The clinical manager and six RN's are interRAI trained and one is currently in training.  Two more RNs are also booked in to complete.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 has been put in place since the last audit to ensure that performance appraisals are completed annually.  The facility and clinical managers have now caught up with completion of these and the previous improvement required to ensure these are completed annually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policy includes a staff rationale and skill mix.  Enough staff are rostered on duty to manage the care requirements of the residents.  At least one registered nurse is always on duty.  Additional staff are provided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or a senior registered nurse are on-call after hours.  The facility manager is also available at any time.  Registered nurse cover is provided 24 hours a day, seven days a week with three registered nurses on both morning and afternoon shifts and a registered nurse on duty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are allocated to each wing with consideration of numbers and acuity of residents.  Rosters for the past three months reviewed confirmed that the following staff are allocated to morning and afternoon shifts: one healthcare assistant on Rimu and one on Puriri wings (rest home level of care with 26 residents); three healthcare assistants on Kowhai (21 beds – hospital beds); four on part of Kauri and Manuka wings (28 predominantly hospital beds); two on Kauri and Totara wings (13 hospital beds).  Overnight, there are five healthcare assistants allocated to specific areas.  The clinical manager also works during week days and a day is also given to a registered nurse to complete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total of 85 staff including 48 healthcare assistants, 14 registered nurses, two enrolled nurses; household staff (cook, cleaner, laundry staff), maintenance staff and two activity staff.  Interviews with the residents and relatives confirmed staffing overall was satisfactory.  A review of rosters confirmed that staff are replaced when on leave.  Pharmacy, dietetics, physiotherapy and podiatry are contracted.  The service has access to specialist practitioners from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is a signed agreement with the pharmacy.  The RN checks all medications on delivery against the medication and any pharmacy errors recorded and fed back to the supplying pharmacy.  The impress system is checked monthly.  Expired medication is returned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were self-administering medication on the day of audit.  The residents concerned had self-medication competencies in place with documented supervision by the registered nurse.  Young persons are supported to self-medicate if required.  The improvement required at the previous audit has been addressed.  The respite resident file reviewed had a paper-based file which was appropriately completed, signed and included any allergies and a photo.</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medication trollies kept in the nurse’s stations.  All medications are securely and appropriately stored.  The facility uses a robotic pack system.  Registered nurses, enrolled nurses, and senior healthcare assistants that are responsible for the administering of medications have completed annual medication competencies.  Registered nurses have completed annual syringe driver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folders include a list of specimen signatures.  Photo identification and allergy status were documented on all charts.  Fourteen medication charts (eight hospital and six rest home) sampled, had been reviewed by the GP at least three monthly.  All resident medication administration signing-sheets corresponded with the medication chart.  The medication round was observed during the audit and the medication process was noted to be correct and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has temperatures recorded weekly and these are within acceptable ranges.  There are no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Cairnfield House are prepared and cooked on-site by a cook/kitchen manager (qualified chef) who has worked in food preparation for many years.  A second cook covers days-off.  There are kitchen assistants who help with meal preparation.  All staff have completed food safety training.  There is a six-weekly seasonal menu, which had been reviewed by a dietitian in July 2016.  Food preferences are met, and staff can access the kitchen at any time to prepare a snack if a resident is hungry.  The cook receives a dietary profile of resident dietary requirements and any likes or dislikes; however, these are not updated after the admission of the resident.  Special diets including modified foods and diabetic diets were provided at time of audit.  Food is stored correctly and safely.  Stock is rotated and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dining rooms.  Fridge, freezer, walk in chiller and end cooked temperatures are monitored daily.  A kitchen cleaning schedule was documented, and cleaning was of an acceptable standard.  Chemicals are stored safely within the kitchen.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along with direct input from residents, provide resident feedback on the meals and food services.  Residents and family members interviewed were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care plans in place.  At times the care plan is updated as changes occur because of a resident's change in condition or if needs alter.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wound register was updated with three pressure injuries documented, a check of a biopsy site, and one skin tag.  Wound assessments, wound management plans and evaluation forms were partially completed for all wounds reviewed.  A sample of wounds reviewed in detail included a link to STCPs and LTCPs.  There is DHB wound care specialist/district nursing input where needed.  Physiotherapy and dietitian input is provided for residents.  The dietary assessment is not updated to reflect changes in diet for residents with significant wounds/pressure injuries, although there is reference to these in the long-term care plans.  The kitchen staff were not familiar with or had dietary assessments to refer to around changes in dietary needs (link 1.3.13.2).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there were shortfalls around the documentation of neurological observations.  A review of a sample of recent falls related incident forms was undertaken.  All the falls reviewed had a fully completed incident form with documentation of neurological observations as per policy. </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and turning charts) were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activities coordinators are each working a 0.9 full time equivalent role across the service.  They work across a seven-day week, and both are training to be diversional therapists.  There are three volunteers who also provide activities, particularly to individual residents who are less mobile or engaged in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documented, and a copy of the programme is in large print on the noticeboards with a copy provided to residents and families.  The activities coordinators have ensured there are a variety of group activities, celebrations and outings to suit residents including all ages and all abilities.  Church groups visit weekly and a priest provides communion on a Sunday.  Seasonal events are celebrated.  There are twice weekly van outings with visits to local places of interest, to other rest homes and there are sometimes boat trips on a Saturday.  There are ‘Apple Box’ sessions where residents and families can display activities and pictures taken at recent celebrations up on the big screen for all residents to enjoy.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younger resident admitted under a LTS-CHC, the activity coordinators have introduced google sessions where the resident can research areas of interest, with one young resident assisted to return to their place of home for lunch, another has been assisted to learn their native language.  One resident helps with household chores and maintenance jobs.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strong links with community which involves visiting kindergartens, visiting animals, weekly RSA visits, music entertainers and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have the opportunity to feedback on the activity programme through meetings and surveys.  Whiteboard sessions are provided where residents and families feedback on current activities and offer new ideas.  </w:t>
            </w:r>
          </w:p>
          <w:p w:rsidR="00EB7645" w:rsidRPr="00BE00C7" w:rsidP="00BE00C7">
            <w:pPr>
              <w:pStyle w:val="OutcomeDescription"/>
              <w:spacing w:before="120" w:after="120"/>
              <w:rPr>
                <w:rFonts w:cs="Arial"/>
                <w:b w:val="0"/>
                <w:lang w:eastAsia="en-NZ"/>
              </w:rPr>
            </w:pPr>
            <w:r w:rsidRPr="00BE00C7">
              <w:rPr>
                <w:rFonts w:cs="Arial"/>
                <w:b w:val="0"/>
                <w:lang w:eastAsia="en-NZ"/>
              </w:rPr>
              <w:t>A social history and activity plan is completed on admission in consultation with the resident/family (as appropriate) and reviewed monthly.  All the resident files sampled had a documented activity plan.  A record is kept of individual resident’s activities and monthly progress notes completed.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residents were observed being actively involved in the activities programme.  Participation in all activities is voluntary.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(link 1.3.3.3) using the interRAI process.  Long-term care plans are evaluated at six monthly intervals.  While the evaluation is documented, the care plan is not necessarily updated.  </w:t>
            </w:r>
          </w:p>
          <w:p w:rsidR="00EB7645" w:rsidRPr="00BE00C7" w:rsidP="00BE00C7">
            <w:pPr>
              <w:pStyle w:val="OutcomeDescription"/>
              <w:spacing w:before="120" w:after="120"/>
              <w:rPr>
                <w:rFonts w:cs="Arial"/>
                <w:b w:val="0"/>
                <w:lang w:eastAsia="en-NZ"/>
              </w:rPr>
            </w:pPr>
            <w:r w:rsidRPr="00BE00C7">
              <w:rPr>
                <w:rFonts w:cs="Arial"/>
                <w:b w:val="0"/>
                <w:lang w:eastAsia="en-NZ"/>
              </w:rPr>
              <w:t>There was documented evidence that care plan evaluations were current in resident files sampled.  Care plan reviews are signed as completed by the RN.  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for the care and treatment of residents and had been evaluated and closed or transferred to the long-term care plan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certificate of public use.  Medical equipment and electrical appliances have been tested, tagged and calibrated.  Regular and reactive maintenance occurs.  Residents were observed to mobilise safely within the facility.  There are sufficient seating areas throughout the facility.  Staff interviewed confirmed there is adequate equipment to carry out the cares, according to the resident needs, as identified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required at the previous audit have been addressed.  Balconies for residents in rooms on higher levels (as the service is on a hill) have external access doors, and balconies are now in place for these rooms.  The grounds are now landscaped.  There are external areas for all residents to use.  Rooms have been furbished and handrails have now been installed.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Fire training and security situations are part of orientation of new staff - orientation checklist sighted.  Staff training in emergency management includes fire safety and evacuation.  There are staff across 24/7 with current first aid certificates.  A trial evacuation/fire drill is documented as having occurred prior to occupation and the improvement identified at the previous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existing fire evacuation plan has been approved by the New Zealand Fire Service.  Evacuation display panels have been installed for fire evacuations.    </w:t>
            </w:r>
          </w:p>
          <w:p w:rsidR="00EB7645" w:rsidRPr="00BE00C7" w:rsidP="00BE00C7">
            <w:pPr>
              <w:pStyle w:val="OutcomeDescription"/>
              <w:spacing w:before="120" w:after="120"/>
              <w:rPr>
                <w:rFonts w:cs="Arial"/>
                <w:b w:val="0"/>
                <w:lang w:eastAsia="en-NZ"/>
              </w:rPr>
            </w:pPr>
            <w:r w:rsidRPr="00BE00C7">
              <w:rPr>
                <w:rFonts w:cs="Arial"/>
                <w:b w:val="0"/>
                <w:lang w:eastAsia="en-NZ"/>
              </w:rPr>
              <w:t>Civil defence is covered in the risk management procedure.  The service has emergency management supplies on site and these have been expanded to cope with the additional beds.  Alternative energy systems are available in the event of the main supplies failing.  There are large water tanks.</w:t>
            </w:r>
          </w:p>
          <w:p w:rsidR="00EB7645" w:rsidRPr="00BE00C7" w:rsidP="00BE00C7">
            <w:pPr>
              <w:pStyle w:val="OutcomeDescription"/>
              <w:spacing w:before="120" w:after="120"/>
              <w:rPr>
                <w:rFonts w:cs="Arial"/>
                <w:b w:val="0"/>
                <w:lang w:eastAsia="en-NZ"/>
              </w:rPr>
            </w:pPr>
            <w:r w:rsidRPr="00BE00C7">
              <w:rPr>
                <w:rFonts w:cs="Arial"/>
                <w:b w:val="0"/>
                <w:lang w:eastAsia="en-NZ"/>
              </w:rPr>
              <w:t>The building has an electric call bell system installed throughout resident areas.  All rooms, which will be used by residents, have a call bell system installed.  Security systems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infection summary.  This data is monitored and evaluated monthly and annually and provided to staff at facility meetings.  Outcomes and actions are discussed at facility meetings.  If there is an emergent issue, it is acted upon in a timely manner, and where infection rates have been above an acceptable benchmark, corrective actions have been documented.  Reports are easily accessible to the facility manager and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and comprehensive restraint procedures.  The education and training programme includes regular in-service training on restraint minimisation.  Interviews with the care staff confirmed their understanding of restraints and enablers.  The service has a restraint-free philosophy.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requested voluntarily by the residents.  At the time of the audit, the service had no residents using restraints and one resident using a bed rail as an enabler.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799"/>
        <w:gridCol w:w="2418"/>
        <w:gridCol w:w="15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planner has been implemented and exceeds the provision of eight hours of training on an annual basis.  Low attendance at planned and mandatory education sessions was identified at the previous audit and the managers have implemented a range of strategies to improve attendance.  This includes payment for staff to come in on days off; games; nomination of a ‘staff of the month’; and questionnaires for staff to complete if they cannot come to sessions.  Managers stated that despite new strategies implemented, there are still issues with attendance and questionnaires are not always returned when required.  Attendance has improved; however, it remains with the risk rating remaining as low.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Attendance at in-service training is still low, (ie, below 50%) and the improvement required at the previous audit remains.  The risk rating has not been increased as there is recognition for efforts made to improve attendance.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receive training as per the training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dietary assessment and profile completed on admission.  The kitchen receives a copy of these.  On the day of audit, the folder did not include any updated dietary profiles and the resident file did not have an updated version.  Two dietary assessments in files reviewed had been updated and two were new residents and therefore assessments and profiles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whiteboard that records dietary preferences, allergies and meal types in on a wall outside of the kitchen.  This cannot be seen by others unless they specifically use this hallway to access the garage and it cannot always be sighted by kitchen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Dietary assessments for residents whose records had been reviewed by the auditor did not have these reviewed.  These were out of date and had not been updated to reflect current changes in diet.  Dietary records in the kitchen were not reviewed at least six monthly or as changes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kitchen does not have an up to date record of resident preferences, meal types (eg, pureed meals) etc displayed on the whiteboard and the whiteboard is not able to be seen by kitchen staff when preparing or serving meals.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that each resident has a dietary assessment that is reviewed six monthly and updated as changes occur and ensure that the kitchen has a copy of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Ensure that the dietary preferences, allergies and meal types can be seen by kitchen staff when preparing or serving food.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struggled to retain registered nurses who have been interRAI trained in the past.  There are now six registered nurses trained along with the clinical manager.  A newly admitted resident showed that an interRAI assessment had been completed in a timely manner.  One interRAI assessment had been completed in a timely manner, however this was noted to be in draft and not in the file as a signed off completed version.  One interRAI assessment was not completed until three months after the resident had been admitted.  One interRAI assessment had not been reviewed six monthly and one had been completed after the documentation of the review of the care plan.  The improvement required at the previous audit has not been met.  The risk rating and the timeframe to resolve the issues remains as per the previous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for four of the six files reviewed were not completed in a timely manner as per ARCC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interRAI assessments in a timely manner as per ARCC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wound management plans and evaluation forms were at times poorly completed for wounds reviewed.  The assessment, plan and evaluation of two pressure injuries for one resident were confusing as both injuries were documented on the same form.  One resident has documentation of an assessment and plan completed by the district nurse.  Staff are following the plan documented with review of each dressing documented.  One resident has a well-documented assessment and plan for a wound.  All have incident forms documented for each wound with these documented on the register.  One surgical wound was documented using a short-term care plan with this well managed to resolution.  One resident with a surgical wound did not have a wound assessment or plan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 assessment, plan and evaluation of two pressure injuries for one resident (tracer) were confusing as both injuries were documented on the same form.  (ii) One resident with a surgical wound did not have a short-term care plan or wound management plan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each wound has a separate assessment, plan and review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stated that residents who prefer to stay in their rooms have one-on-one time, which may involve a chat, hand massage or being read to.  This is not documented on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young people with disabilities (ACC funded) and two other young people under the age of 65 years (one using respite care and one with a long-term chronic condition) were interviewed.  They stated that they were encouraged to be independent.  Two of the four also stated that there were few activities planned for young people as part of the activities programme.  The activities programme did not reflect activities planned for young people.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does not include documentation of planning of activities for young people or for residents who do not wish or cannot engage in group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an activities programme for residents who are less able to engage in group activities and one for young people.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were evaluated, but care plan interventions were not always updated as a result of a change identified through the interRAI reassessment or care plan evaluation.  Short term care plans are in use and closed out when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interventions were not always updated as a result of a change identified through the interRAI reassessment or care plan evaluation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 interventions are updated as a result of a change identified through the care plan evaluation of interRAI reassessment.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Ativas Limited - Cairnfield House</w:t>
    </w:r>
    <w:bookmarkEnd w:id="58"/>
    <w:r>
      <w:rPr>
        <w:rFonts w:cs="Arial"/>
        <w:sz w:val="16"/>
        <w:szCs w:val="20"/>
      </w:rPr>
      <w:tab/>
      <w:t xml:space="preserve">Date of Audit: </w:t>
    </w:r>
    <w:bookmarkStart w:id="59" w:name="AuditStartDate1"/>
    <w:r>
      <w:rPr>
        <w:rFonts w:cs="Arial"/>
        <w:sz w:val="16"/>
        <w:szCs w:val="20"/>
      </w:rPr>
      <w:t>18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