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Bucklands Beach Rest Home Limited - Bucklands Beach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Bucklands Beach Resthome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Bucklands Beach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March 2019</w:t>
      </w:r>
      <w:bookmarkEnd w:id="7"/>
      <w:r w:rsidRPr="009418D4">
        <w:rPr>
          <w:rFonts w:cs="Arial"/>
        </w:rPr>
        <w:tab/>
        <w:t xml:space="preserve">End date: </w:t>
      </w:r>
      <w:bookmarkStart w:id="8" w:name="AuditEndDate"/>
      <w:r w:rsidR="00A4268A">
        <w:rPr>
          <w:rFonts w:cs="Arial"/>
        </w:rPr>
        <w:t>13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 Bucklands Beach Rest Home can provide rest home level care for up to 20 residents.  On the day of the audit there were 16 residents.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owner/manager is the RN.  She has been operating this facility for 20 years.  The manager has maintained a minimum of eight hours of professional development relating to the management of an aged care facility. </w:t>
      </w:r>
    </w:p>
    <w:p w:rsidRPr="00A4268A">
      <w:pPr>
        <w:spacing w:before="240" w:line="276" w:lineRule="auto"/>
        <w:rPr>
          <w:rFonts w:eastAsia="Calibri"/>
        </w:rPr>
      </w:pPr>
      <w:r w:rsidRPr="00A4268A">
        <w:rPr>
          <w:rFonts w:eastAsia="Calibri"/>
        </w:rPr>
        <w:t xml:space="preserve">The service has an established quality and risk management system.  Residents, family and the general practitioner interviewed, commented positively on the standard of care and services provided.  </w:t>
      </w:r>
    </w:p>
    <w:p w:rsidRPr="00A4268A">
      <w:pPr>
        <w:spacing w:before="240" w:line="276" w:lineRule="auto"/>
        <w:rPr>
          <w:rFonts w:eastAsia="Calibri"/>
        </w:rPr>
      </w:pPr>
      <w:r w:rsidRPr="00A4268A">
        <w:rPr>
          <w:rFonts w:eastAsia="Calibri"/>
        </w:rPr>
        <w:t>One of the three shortfalls identified as part of the previous audit have been addressed.  This was around access to call bells.  There continues to be improvements required around medication management and self-medicating.</w:t>
      </w:r>
    </w:p>
    <w:p w:rsidRPr="00A4268A">
      <w:pPr>
        <w:spacing w:before="240" w:line="276" w:lineRule="auto"/>
        <w:rPr>
          <w:rFonts w:eastAsia="Calibri"/>
        </w:rPr>
      </w:pPr>
      <w:r w:rsidRPr="00A4268A">
        <w:rPr>
          <w:rFonts w:eastAsia="Calibri"/>
        </w:rPr>
        <w:t>This audit has identified further areas requiring improvement around; incidents and accidents, assessments, and implementation of care and fire drills.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Bucklands Beach Rest homes has a fully implemented quality and risk system in place.  Quality data is collated for accident/incidents, infection control, internal audits, concerns and complaints and surveys.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 who also maintains and reviews care plans.  Care plans reviewed were individually developed with the resident, and family/whānau involvement is included where appropriate, they are evaluated six-monthly or more frequently when clinically indicated.  There is a medication management system in place.  Each resident is reviewed at least three-monthly by their general practitioner.  A range of individual and group activities is available and coordinated by the activities therapist.  All meals are prepared on-site.  There is a seasonal menu in place, which is reviewed by a dietitian.  Residents' food preferences are accommodated, and the residents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no residents using restraints or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3"/>
        <w:gridCol w:w="1280"/>
        <w:gridCol w:w="100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facility manager using a complaints’ register.  There have been three complaints made for 2018 and 2019 (YTD), this includes two Health and Disability complaints.  One Health and Disability complaint has now been closed with suggestions for improvement from the Health and Disability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Health and Disability complaint was received in February and the service has recently sent information as requested.  The DHB is aware of both complaints.  Five residents and a family member interviewed advised that they are aware of the complaint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requested follow up against aspects of a complaint that included training, pain and wound care assessment and management, care planning and referral to specialists.  This audit has identified issues around the management of wounds by caregivers, wound assessment and wound management plans and registered nurse follow-up of issues raised (link 1.3.6.1).  Pain assessments also continue to be a shortfall (link 1.3.4.2).  Training has been provided around pain management and wound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is based on the principle that residents and their families have a right to know what has happened to them and to be fully informed at all times.  The care staff interviewed (nurse manager, three caregivers and a cook) understood about open disclosure and providing appropriate information when required.  The nurse manager confirmed family are kept informed.  One relative interviewed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service is available and accessible if required through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Bucklands Beach Rest Home is owned and operated by the registered nurse manager.  Bucklands Beach Rest Home can provide rest home level care for up to 20 residents.  On the day of the audit there were 16 residents.  This included two residents on long-term chronic conditions contracts.  All other residents were under the ARCC contract.</w:t>
            </w:r>
          </w:p>
          <w:p w:rsidR="00EB7645" w:rsidRPr="00BE00C7" w:rsidP="00BE00C7">
            <w:pPr>
              <w:pStyle w:val="OutcomeDescription"/>
              <w:spacing w:before="120" w:after="120"/>
              <w:rPr>
                <w:rFonts w:cs="Arial"/>
                <w:b w:val="0"/>
                <w:lang w:eastAsia="en-NZ"/>
              </w:rPr>
            </w:pPr>
            <w:r w:rsidRPr="00BE00C7">
              <w:rPr>
                <w:rFonts w:cs="Arial"/>
                <w:b w:val="0"/>
                <w:lang w:eastAsia="en-NZ"/>
              </w:rPr>
              <w:t>A philosophy, mission, vision and values is in place.  The business and quality plan has been regularly reviewed by the registered nurse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a current practising certificate and works full time.  She has been operating this facility for 20 years.  The manager has maintained a minimum of eight hours of professional development relating to the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system implemented at Buckland’s Beach Rest Home has been developed by an aged care consultant.  There are regular policy and procedure updates as needed and these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implemented to provide assurance that the service is meeting accepted good practice and adhering to relevant standards -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Two-monthly staff meeting minutes sighted evidenced staff discussion around accident/incident data, health and safety, infection control, audit outcomes, concerns and survey feedback.  The service collates accident/incident and infection control data (link to 1.2.4.3).  Monthly comparisons include detailed trend analysis and graphs.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programme that covers all aspects of the service and aligns with the requirements of the Health and Disability Services (Safety) Act 2001.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nurse manager is responsible for all aspects of health and safety with assistance from a designated caregiver.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 paper-based register.  Reports are generated monthly by the nurse manager, which are discussed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incidents recorded for January; three falls, one medication error and one resident behaviour issues.  Not all incidents had an incident form completed.  Incident forms identified a timely RN assessment of the resident.  Neurological observations were not completed for unwitnessed falls and any known head injury and RN follow-up to ensure continued safety was not well documented (link 1.3.6.1).  The next of kin had been notified for all required incidents/accidents.  The caregivers interviewed could discuss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interviewed could describe situations that would require reporting to relevant authorities.  There have been no reports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Five staff files were reviewed (three caregivers, one housekeeper and one cook).  All files contained relevant employment documentation including current performance appraisals and completed orientations.  A current practising certificate was sighted for the registered nurse manager.  All required staff have been employed and appropriate employment practices followed.  The service has an orientation programme in place that provides new staff with relevant information for safe work practice.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planner in place that covers compulsory education requirements.  The planner and individual attendance records are updated after each session.  Pain and wound care management have been provided by the nurse practitioner from the DHB with 100% attendance.  Skin and pressure injury care, documentation, have also been provided (as well as other compulsory subjects).  The nurse manager has completed interRAI training.  Care staff complete competencies relevant to their role.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were able to discuss the on-call process and there was a direction chart on the wall of the nurses’ station with on call and emergency calls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aligns with contractual requirements.  The nurse manager is on-site four days a week and is on call when not available on-site 24/7.  A casual RN covers when she is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caregivers available with one caregiver rostered during the night shift and two caregivers (one long shift and one short shift) rostered on the am and pm shifts.  An activities therapist is available five days a week (9.00 am – 1.00 pm).  Staffing is flexible to meet the acuity and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A separate cleaner is employed four days a week.  Caregivers are responsible for laundry duties.  They also assist with breakfast and supper, with direction provided by the cook.</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a family member confirmed staffing overall was satisfactory.  Staff stated they feel supported by the nurse manager who responds quickly to after-hour calls.  The GP confirmed that he is called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medication orders with photo identification and allergy status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a four-weekly roll pack system for tablets and other medicines are pharmacy packaged.  A verification check is completed by the RN against the resident’s medicine order when new medicines are supplied from the pharmacy.  Short-life medications (ie, eye drops and ointments) are dated once opened.  There is a dedicated fridge for medications,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medication management has occurred with competencies conducted for the caregivers with medication administration responsibilities.  Administration sheets sampled were not always appropriately signed.  Ten medication charts reviewed identified that the GP had seen the resident three-monthly.  Not all medication given was prescribed, short course medication did not always have a stop date.  A caregiver was observed administering medications and followed correct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self-administered medications, but one resident who had self-administered previously (and it was unclear if they still did), still stored the insulin in his room.  This medication was not stored securely and the resident, had a recent hypoglycaemic episode due to incorrect administration of insulin.  The management and storage of self-administered medication is a repeat shortfall.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cooked on-site.  The service has cooks who cover Monday to Friday.  The head cook oversees the procurement of the food and management of the kitchen.  There is a well-equipped kitchen.  Meals are served directly from the kitchen to the dining rooms via a hatch.  Special equipment such as lipped plates are available if required.  The food control plan is in the process of verification.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on a kitchen whiteboard.  The four-weekly menu cycle is approved by a dietitian.  All resident/families interviewed were very satisfied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Files sampled contained interRAI assessment tools that were complete and reviewed at least six-monthly.  The interRAI assessment tool is implemented.  InterRAI assessments had been completed for residents whose files were sampled.  </w:t>
            </w:r>
          </w:p>
          <w:p w:rsidR="00EB7645" w:rsidRPr="00BE00C7" w:rsidP="00BE00C7">
            <w:pPr>
              <w:pStyle w:val="OutcomeDescription"/>
              <w:spacing w:before="120" w:after="120"/>
              <w:rPr>
                <w:rFonts w:cs="Arial"/>
                <w:b w:val="0"/>
                <w:lang w:eastAsia="en-NZ"/>
              </w:rPr>
            </w:pPr>
            <w:r w:rsidRPr="00BE00C7">
              <w:rPr>
                <w:rFonts w:cs="Arial"/>
                <w:b w:val="0"/>
                <w:lang w:eastAsia="en-NZ"/>
              </w:rPr>
              <w:t>Resident with ongoing assessment needs outside of the interRAI process did not always have this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are resident centred.  Residents and relatives interviewed stated that they were involved in the care planning process.  There was evidence of service integration with documented input from a range of specialist care professionals including the podiatrist, wound care specialist and mental health care team for older people.  The care staff interviewed advised that the care plans were easy to follow, and guidelines were clear.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goal orientated and they had been evaluated and updated by the RN manager at least six monthly.  The staff interviewed stated that they have sufficient equipment and supplies to provide care.  Resident weights were noted to be monitored monthly or more frequently if necessary.  </w:t>
            </w:r>
          </w:p>
          <w:p w:rsidR="00EB7645" w:rsidRPr="00BE00C7" w:rsidP="00BE00C7">
            <w:pPr>
              <w:pStyle w:val="OutcomeDescription"/>
              <w:spacing w:before="120" w:after="120"/>
              <w:rPr>
                <w:rFonts w:cs="Arial"/>
                <w:b w:val="0"/>
                <w:lang w:eastAsia="en-NZ"/>
              </w:rPr>
            </w:pPr>
            <w:r w:rsidRPr="00BE00C7">
              <w:rPr>
                <w:rFonts w:cs="Arial"/>
                <w:b w:val="0"/>
                <w:lang w:eastAsia="en-NZ"/>
              </w:rPr>
              <w:t>The care was observed to be supportive and caring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wounds at the time of the audit.  There were no residents with pressure injuries.  All three wounds had an assessment, and documented reviews, however ongoing assessment of the wounds was undertaken by caregivers and one wound did not have a fully developed management plan.  Two wounds were deteriorating but there was no documented specialist/GP review, and this was actioned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is an RN available, four to five days a week (the nurse manager) who develops and reviews all resident care plans, however RN input to care and follow-up is not documented post falls and no GP review was documented for a resident post hypoglycaemic episode.</w:t>
            </w:r>
          </w:p>
          <w:p w:rsidR="00EB7645" w:rsidRPr="00BE00C7" w:rsidP="00BE00C7">
            <w:pPr>
              <w:pStyle w:val="OutcomeDescription"/>
              <w:spacing w:before="120" w:after="120"/>
              <w:rPr>
                <w:rFonts w:cs="Arial"/>
                <w:b w:val="0"/>
                <w:lang w:eastAsia="en-NZ"/>
              </w:rPr>
            </w:pPr>
            <w:r w:rsidRPr="00BE00C7">
              <w:rPr>
                <w:rFonts w:cs="Arial"/>
                <w:b w:val="0"/>
                <w:lang w:eastAsia="en-NZ"/>
              </w:rPr>
              <w:t>Advice is available from the DHB as needed.  A physiotherapist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(weights, food and fluids and turning charts) were consistently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therapist who works four hours daily, five days a week.  On the day of audit residents were observed participating in exercises, making flower pot art and listening to music.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The daily programme is written up on a whiteboard in the dining room.  Residents have the choice of a variety of activities in which to participate, and every effort is made to ensure activities are meaningful and tailored to residents’ needs.  These include exercises, brain teasers, news from the NZ Herald, music, walks outside and games.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Church services are held three-weekly and Catholics have communion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van outings and entertainers visit the facility and there is community input from local kindergartens and schools.  Special events like birthdays, Easter, Mothers’ Day, Anzac Day and the Melbourne Cup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There is a men’s group which has outings six-weekly including lunches at the RSA and the movies.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individual activity plan is based on this assessment.  Activity plans are evaluated at least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Long-term care plans are then evaluated and rewritten.  There was documented evidence that care plan evaluations were current in resident files sampled.  Care plan reviews are signed as completed by the RN.  The files sampled documented that the GP had reviewed residents three-monthly (link 1.3.6.1).  The registered nurses interviewed explained the communication process with the GP.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8 June 2019.  There is no maintenance person on-site but the manager phones contractors when maintenance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scales are checked annually.  Hot water temperatures have been monitored randomly in resident areas and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The communal lounges and hallways are carpeted as are residents’ bedrooms.  The utility areas such as the kitchen, laundry/sluice rooms have vinyl flooring.  Toilets and showers have non-slip vinyl flooring.  All halls have safety rails and promote safe mobility with the use of mobility aids.  Staff interviewed stated that there is equipment available to meet all resident needs including wheelchairs and walking frames.</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moving freely around the areas with mobility aids where required.  The external areas and gardens were well maintained.  All outdoor areas have some seating and shade.  There is safe access to all communal areas.  Mobility scooters are parked under cover in an outside porch.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The orientation programme and annual education and training programme includes fire and security training; however, fire evacuations training/practice has not been in place since April 2018.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cooker is available.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Call bells are checked regularly by maintenance.  All showers have an accessible call bell;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staff member available 24 hours a day, seven days a week with a current first aid/CPR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that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ensure that restraint is a last resort and safely used when required, and that enabler use is voluntary.  There were no residents using restraints or enablers at the time of the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19"/>
        <w:gridCol w:w="1280"/>
        <w:gridCol w:w="3555"/>
        <w:gridCol w:w="4809"/>
        <w:gridCol w:w="26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incident process in place and incidents and accidents were evidenced to be documented for incidents such as falls, resident altercations and some medication related incidents (incorrect medication given).  Not all events are registered as an incident and not all have a subsequent investigation undertaken.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a resident and review of progress notes evidenced a hypoglycaemic episode may have been caused by a malfunctioning insulin pen and repeated attempts to make it work.  The hypoglycaemic episode was successfully treated, and ongoing blood sugar level undertaken to ensure the full recovery of the resident.  It was not clear if a GP was informed (link 1.3.6.1 and 1.3.12.5).  There was no incident form for this or evidence of an investigation and strategies to minimise any future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 incident form is documented for all incidents and accidents and that investigation is undertaken.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robust policy and associated procedures in place to safely manage the medication system.  Not all procedures have been implemented into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resident stored his insulin pen in his room, the storage is not secure.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resident has been administered as needed paracetamol medications since 18 February with no prescription. </w:t>
            </w:r>
          </w:p>
          <w:p w:rsidR="00EB7645" w:rsidRPr="00BE00C7" w:rsidP="00BE00C7">
            <w:pPr>
              <w:pStyle w:val="OutcomeDescription"/>
              <w:spacing w:before="120" w:after="120"/>
              <w:rPr>
                <w:rFonts w:cs="Arial"/>
                <w:b w:val="0"/>
                <w:lang w:eastAsia="en-NZ"/>
              </w:rPr>
            </w:pPr>
            <w:r w:rsidRPr="00BE00C7">
              <w:rPr>
                <w:rFonts w:cs="Arial"/>
                <w:b w:val="0"/>
                <w:lang w:eastAsia="en-NZ"/>
              </w:rPr>
              <w:t>(iii) One short course medication had no stop date.</w:t>
            </w:r>
          </w:p>
          <w:p w:rsidR="00EB7645" w:rsidRPr="00BE00C7" w:rsidP="00BE00C7">
            <w:pPr>
              <w:pStyle w:val="OutcomeDescription"/>
              <w:spacing w:before="120" w:after="120"/>
              <w:rPr>
                <w:rFonts w:cs="Arial"/>
                <w:b w:val="0"/>
                <w:lang w:eastAsia="en-NZ"/>
              </w:rPr>
            </w:pPr>
            <w:r w:rsidRPr="00BE00C7">
              <w:rPr>
                <w:rFonts w:cs="Arial"/>
                <w:b w:val="0"/>
                <w:lang w:eastAsia="en-NZ"/>
              </w:rPr>
              <w:t>(iv) Two residents with controlled drug medication did not have two signatures for all controlled drug medications given on the administration chart.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medication is stored securely.</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medication is prescribed.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all medication is prescribed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(iv) Ensure there are two signatures for controlled drug medication administration.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safe self-medication.  There are forms available for assessment of competency and consent where appropriate.  One resident no longer self-medicated (however this was unclear), but there was evidence that on occasions he administered insulin.  This resident also continued to store his insulin in his room and had recently had too much insulin possibly due to a pen malfunction or poor technique.  This issue has not yet been investigated (link 1.2.4.3).  This resident did not have documented evidence of his competency assessed to self-medicate.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self-medicating resident has not been assessed as competent to self-medicate.  The same resident has not signed a consent form for self-medication.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who wish to self-medicate are assessed as competent to do so.  Ensure residents who wish to self-medicate sign a consent form for self-medication.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process has been fully implemented by the service.  There is evidence of paper-based assessments such as behaviour assessments documented.  Pain assessment and the ongoing assessment of wounds is not well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Pain assessments are not consistently documented for residents with identified pain needs; (i) one resident who has pain did not have a formal pain assessment since January; (ii) one resident with identified back pain has informal pain assessment from caregivers through progress notes but no RN assessment, and (iii) one resident who presents with behaviours that challenge and has as needed paracetamol daily, had no pain assessment.</w:t>
            </w:r>
          </w:p>
          <w:p w:rsidR="00EB7645" w:rsidRPr="00BE00C7" w:rsidP="00BE00C7">
            <w:pPr>
              <w:pStyle w:val="OutcomeDescription"/>
              <w:spacing w:before="120" w:after="120"/>
              <w:rPr>
                <w:rFonts w:cs="Arial"/>
                <w:b w:val="0"/>
                <w:lang w:eastAsia="en-NZ"/>
              </w:rPr>
            </w:pPr>
            <w:r w:rsidRPr="00BE00C7">
              <w:rPr>
                <w:rFonts w:cs="Arial"/>
                <w:b w:val="0"/>
                <w:lang w:eastAsia="en-NZ"/>
              </w:rPr>
              <w:t>(2) The assessment of wound does not include photos and regular and ongoing assessment of wounds is not documented by an 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-(2) Ensure that there is ongoing and documented assessment of resident needs by a registered nurse.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robust polices in place to guide and support staff including reporting to the RN, wound care, and neurological observation, but these policies are not implemented in practice.  All three wounds had and intimal assessment but ongoing assessment and referral when the wounds deteriorated was not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three wound care plans did not document ongoing and regular assessment by the RN; (ii) there was no referral to specialist/ GP for wound review has been delayed due to the RN being unaware of changes to the wound status for two wounds; (iii) wound specialists for two wounds have been consulted in the past (one nurse specialist and one plastics department) but there is no documentation from either to guide staff.  (iv)  One wound did not include cleaning method for the wound.  (v) The GP has not been documented as informed for a follow-up review post a hypoglycaemic episode for one resident.  (vi)  Neurological observations were not documented for two falls related head injuries during January and caregiver or RN follow-up was not documented following the incidents.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all wounds document ongoing and regular assessment by an RN and there is prompt referral to specialist/GP when deterioration is noted.  (iii) Ensure that specialist intervention is documented.  (iv)  Ensure that wound management plans document all care and support needed.  (v) Ensure the GP is informed for acute changes to resident’s status.  (vi) Ensure neurological observations are documented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The orientation programme and annual education and training programme include fire and security training; however, fire evacuations training/practice has not been in place since April 2018.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no fire evacuation drill since April 2018.  Since the draft report the provider advised that a fire drill was completed 24/4/19.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fire evacuations are trialled six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Bucklands Beach Rest Home Limited - Bucklands Beach Rest Home</w:t>
    </w:r>
    <w:bookmarkEnd w:id="58"/>
    <w:r>
      <w:rPr>
        <w:rFonts w:cs="Arial"/>
        <w:sz w:val="16"/>
        <w:szCs w:val="20"/>
      </w:rPr>
      <w:tab/>
      <w:t xml:space="preserve">Date of Audit: </w:t>
    </w:r>
    <w:bookmarkStart w:id="59" w:name="AuditStartDate1"/>
    <w:r>
      <w:rPr>
        <w:rFonts w:cs="Arial"/>
        <w:sz w:val="16"/>
        <w:szCs w:val="20"/>
      </w:rPr>
      <w:t>12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