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River City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River City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2019</w:t>
      </w:r>
      <w:bookmarkEnd w:id="7"/>
      <w:r w:rsidRPr="009418D4">
        <w:rPr>
          <w:rFonts w:cs="Arial"/>
        </w:rPr>
        <w:tab/>
        <w:t xml:space="preserve">End date: </w:t>
      </w:r>
      <w:bookmarkStart w:id="8" w:name="AuditEndDate"/>
      <w:r w:rsidR="00A4268A">
        <w:rPr>
          <w:rFonts w:cs="Arial"/>
        </w:rPr>
        <w:t>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River City provides rest home and hospital level care for up to 37 residents in the care centre and up to 12 rest home residents in the serviced apartments.   On the day of the audit there were 39 residents.  The service is managed by a village manager and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care centre and rest home residents in the serviced apartments.  There are quality systems and processes being implemented.  An induction and in-service training programme are in place to provide staff with appropriate knowledge and skills to deliver care.  </w:t>
      </w:r>
    </w:p>
    <w:p w:rsidRPr="00A4268A">
      <w:pPr>
        <w:spacing w:before="240" w:line="276" w:lineRule="auto"/>
        <w:rPr>
          <w:rFonts w:eastAsia="Calibri"/>
        </w:rPr>
      </w:pPr>
      <w:r w:rsidRPr="00A4268A">
        <w:rPr>
          <w:rFonts w:eastAsia="Calibri"/>
        </w:rPr>
        <w:t xml:space="preserve">The service is commended for achieving three continued improvement ratings around good practice, restraint free environment and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Summerset in the River City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River City has a well-established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Registered nurses are responsible for care plan development with input from residents and family.  Long-term care plans reviewed were completed within policy timeframes.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Summerset in the River City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six-monthly fire drills are conducted.  External garden areas are available with suitable pathways, seating and shade provided.  Smoking is only permitted in designated external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service is restraint free.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(RN)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8"/>
        <w:gridCol w:w="1280"/>
        <w:gridCol w:w="101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eight care staff (five caregivers, two registered nurses (RN), and one diversional therapist) confirmed their familiarity with the Health and Disability Commissioner (HDC) Code of Health and Disability Services Consumers’ Rights (the Code).  Six residents (three hospital and three rest home including one resident in the serviced apartments, one younger person and one intermediate care resident) and five relatives (four hospital and one rest home) were interviewed and confirmed the services being provided are in line with the Code.  All staff complete competencies around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six of seven resident files reviewed (the seventh file of a resident on an intermediate contract had informed consent on file).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Right and access to advocacy services on entry to the service.  Residents interviewed confirmed they are aware of their right to access independent advocacy services and advocacy pamphlets are available at reception.  Code of Rights and advocacy is discussed with residents and relatives on admission to the service.  A health and disability advocate attends the friends/family and resident three-monthly meetings.  Meeting minutes are displayed on the resident noticeboard.  The service provided opportunities for the family/enduring power of attorney (EPOA) to be involved in decisions as evidenced in the resident files reviewed.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Interviews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 complaint register that included relevant information regarding the complaint.  Documentation included acknowledgement, investigation, follow-up letters (offering advocacy) and resolution.  There were three complaints received in 2018.  All of the complaint’s documentation were completed within the required timeframes.  There was evidence of action plans including education provided by the regional manager on the deteriorating resident.  Complaints and concerns are discussed at the relevant facility meeting.  A complaints procedure is provided to residents within the information pack at entry.  Feedback forms are available for residents/relatives at the main entrances to both buildings.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 the Code, complaints and advocacy.  Information is given to the family or the enduring power of attorney (EPOA) to read to and/or discuss with the resident.  Residents and relatives interviewed identified they are well informed about the Code of Rights.  The Code of Rights (in English and Māori) are displayed at the main entrance of both buildings.  Monthly resident meetings and the annual residents/relatives survey is completed and provides an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access community resources and are supported to attend church services.  Staff were observed knocking on resident doors before entering the room.  There is an elder abuse and neglect policy.  Staff receive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a local kaumātua who is readily available for resident, family and staff support.  There are Māori staff including caregivers who facilitate Tikanga for the four Māori residents who identify with Māori.  Two of four Māori resident files reviewed had Māori Health plans that acknowledged the importance of tribal affiliation, whānau involvement te reo Māori and Tikanga.  Two Māori staff interviewed stated they are actively involved in the review of Māori Health plans and represent/support Māori residents as requested by the resident/family.  Staff interviewed were able to describe how they can ensure they meet the cultural needs of residents identifying as Māori.  Treaty of Waitangi and cultural safety was last provided in December 2018 with 35 staff attending.  The service aims to have at least one Māori staff member on duty each shift to provide support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for all staff occur monthly and include discussions on professional boundaries and concerns as they arise.  Management provide guidelines and mentoring for specific situations.  Interviews with the care centre manager, clinical nurse leader and registered nurses confirmed an awareness of professional boundaries.  Registered nurses (RN) attended Code of Conduct/professional boundaries in-service December 2018.  Caregivers and RNs interviewed were knowledgeable around the scope of their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feel supported by the village manager and care centre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being implemented.  Caregivers, once orientation has been completed, hold level two Careerforce unit standards.  There is evidence of education being supported outside of the training plan.  Registered nurses are linked to the DHB professional development recognition programme (PDRP).  Services are provided at Summerset that adheres to the Health &amp; Disability services standards.  There are implemented competencies for caregivers and registered nurses specific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evidenced good practice and achieved a continuous improvement around weight loss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14 accident/incidents reviewed on the electronic register.   Resident/relative meetings are held monthly with an advocate from Age Concern present at the meeting every three months.  The village manager and the care centre manager have an open-door policy.  The service produces a newsletter for residents and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Caregivers interviewed could describe how they communicated with one resident who did not speak English with the use of cue cards and body language to meet the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37 residents at hospital and rest home level care in the care centre.  There are 12 serviced apartments certified for rest home level of care in a separate building.  On the day of the audit, there were 34 residents in the care centre with 14 at rest home level (including one younger person and one under intermediate care contract) and 20 hospital level including three under the intermediate care contract.   There were five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River City has a site-specific business plan and goals that is developed in consultation with the village manager, care centre manager and regional quality manager.  The Summerset in the River City quality plan is reviewed quarterly throughout the year.  The 2018 evaluation was sighted and there is a 2019 village plan in place that includes key priorities such as increase in resident satisfaction survey, falls prevention, polypharmacy, event management (activities), food services and a focus on providing a dementia friendly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at Summerset since November 2017 and was previously at another Summerset site.  The village manager was on leave on the days of audit and a relieving village manager and regional quality manager were on site to support staff with the audit process.  The village manager has attended a two-day Summerset conference.  The village manager is supported by a care centre manager/RN.  He has been with Summerset since 2012 as an RN and was appointed to the care centre manager role in July 2017.  A care centre manager orientation has been completed and he has attended “leading the walk” dementia course and holds proficient level for the DHB professional development recognition programme.  The care centre manager is supported by a clinical nurse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River City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monthly quality improvement (all staff) meetings, registered nurse meetings and care staff meetings.  The infection control coordinator provides a monthly report and health and safety committee meetings are held.  There are other facility meetings held, such as kitchen and activities.  Quality data such as infections, accidents/incident, hazards, audit outcomes, concerns/complaints are discussed and documented in meeting minutes.  Meeting minutes and quality data reports and graphs are available to all staff.  An annual residents/relatives survey completed October 2018 reports 97% overall satisfaction rate.  An action plan for 2019 has been developed identifying areas for improvement around activities and food service.  The results have been communicated to residents at the February 2019 resident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Issues arising from internal audits are developed into corrective action plans and re-audits as required.  Monthly and annual analysis of results is completed and communicated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and staff incidents/accidents.  Infection control is also included as part of benchmarking across the organisation.  Summersets clinical and quality manager analyses data collected via the monthly reports and corrective actions are required based on benchmarking outcomes.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committee.  Support is provided by the national health and safety manager who completes a comprehensive internal audit of the facility.  The service has a health and safety representative (interviewed) with health and safety level 1 and 2 qualifications.  The health and safety committee meet monthly and review incidents/accidents/hazards and near misses.  The committee provides a monthly report to management and the quality improvement meeting.  Each month there is a focus on one of the golden rules of safety.  All staff and contractors receive a health and safety induction.  The hazard register has been updated February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 by case basis to minimise future falls.  Fall prevention strategies are documented in individual care plans and include meeting resident’s needs (fluids, toileting), two hourly checks, activities, exercises, physiotherapy input, pharmacy reviews, staff education and use of sensor mats and hip protectors.  There has been a decrease of 12 falls (53 falls) for the first quarter of 2019 compared to the average quarter for 2017 - 2018 at 65 falls per quarter (link CI 2.1.1.4).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Fourteen resident related incident reports for December 2018 were reviewed (including three unwitnessed falls, eight skin tears, one bruise and two wandering).  All reports and corresponding resident files reviewed evidenced that appropriate clinical care has been provided following an incident and the relative had been notified.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relieving village manager and regional quality manager confirmed that there is an awareness of the requirement to notify relevant authorities in relation to essential notifications.  The MOH and DHB were notified of the change in village manager and care centre manager in 2017.  There have been no other notifications to report.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Eight staff files (one care centre manager, one clinical nurse leader, two RNs, two caregivers, one diversional therapist and one housekeeper) were reviewed and all had relevant documentation relating to employment.  Performance appraisals had been completed annually.  The service has an orientation programme in place for each role that provides new staff with relevant information for safe work practice.  Staff interviewed were able to describe the orientation process and believed new staff were adequately orientated to the service.  Caregivers are level two of Careerforce once they have completed their orientation booklet.  The care centre manager and CNL are Careerforce assessors.  There is an annual education plan that is outlined on the ‘clinical audit, training and compliance calendar’.  The plan has been completed for 2018 and commenced for 2019.  Education is held at the monthly staff meetings.  There are good attendance numbers and sessions are repeated to capture staff who did not attend the meeting.  The training programme is flexible enough to add additional in-services relevant to the service.  Care staff and RNs have completed palliative care education from hospice.  External education is also provided, and RNs are linked to the PDRP at the DHB.  Five RNs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Core competencies are completed, and a record of completion is maintained on staff files and on-line.  An RN assessor provides manual handling education and staff complete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service provides 24-hour RN.  There is a CNL on Sunday to Thursday and a senior RN covers the days off.  There is an additional RN on morning shift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caregivers on morning shifts (three full shift and two short shifts), four on the afternoon (two full shift and two short shift) and two caregivers on the night shift in the care centre.  One caregiver with a first aid certificate is allocated to attend emergency calls in the village.  </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are in a separate building and there is a caregiver on duty 24 hours.  The care centre RN is allocated to one full day per week to the rest home residents in the serviced apartments.  The RN each day visits the serviced apartments at handover.  On shifts where there is one RN on duty (afternoons and nights) the on-call RN is contacted.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therapist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 caregiver’s complete laundry for the service.  There are designated housekeepers.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staff are replaced.  Staffing levels and skills mix policy is the documented rationale for determining staffing levels and skill mixes for safe service delivery.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password protected from unauthorised access.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comprehensive admission policies and processes in place.  Residents receive an information booklet around admission processes and entry to the service.  The care manager screens all potential residents prior to entry to services to confirm they meet the level of care provided at the facility.  Residents and relatives interviewed confirmed they received information prior to admission and discussed the admission process and admission agreement with the village manager/care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 a transfer/discharge form and the completed form is placed on file.  The service stated that a staff member escorts the resident if no family are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charting and administration system and individualised robotic medication rolls which are checked in on delivery.  Two registered nurses were observed administering medications correctly (in the apartments a medication competent caregiver administers medications).  Medications and associated documentation were stored safely and securely, and all medication checks were completed and met requirements.  Resident photos and documented allergies or nil known were on all 14 medication charts reviewed.  An annual medication administration competency is completed for all staff administrating medications and medication training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procedures in place.  There was one YPD resident self-administering an inhaler and topical medications.  Competency had been tested.  Standing orders were not used.  All medication charts reviewed recorded indication for use of ‘as required’ medication by the GP.  ‘As required’ medication is reviewed by a registered nurse each time prior to administration, pain assessments were undertaken before administering ‘as required’ analgesia.  Medication charts reviewed identified that the GP had reviewed the resident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for the provision of meals on-site.  There is an eight-week rotating menu approved by the dietitian.  The verified food control plan expires April 2019.  There are alternative meal options available and resident likes/dislikes and preferences are known and accommodated.  Special diets include diabetic and pureed meals as assessed for residents by the RN.  The cook receives a dietary profile for each resident.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is well equipped.  The fridge, freezer and dishwasher have daily temperatures recorded.  End cooked food temperatures are recorded daily.  Cleaning schedules are maintained.  Chemicals are stored safely within the kitchen which is locked after hours.  Staff were observed wearing correct personal protective clothing.  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residents should this occur and communicates this to residents/family/whānau.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interRAI assessment tool had been used for all residents admitted under the ARRC agreement.  A nursing assessment and care plan were completed on admission.  As well as using interRAI assessments, the residents’ files also included a full range of assessments to assist with resident care planning.  Files reviewed identified that risk assessments have been completed on admission and reviewed six monthly as part of the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(which is electronic) includes nursing diagnosis, actual or potential/deficits, outlined objectives of nursing care, setting goals, and details of implementation.  Resident/family/whānau involvement in the care planning process was evident.  Residents and relatives interviewed, and resident files sampled, confirmed that resident/family were involved in the development/evaluation of care plans.  Short-term care plans were in use for changes in health status including weight management, wounds and falls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record of each resident’s progress is documented.  Changes are followed up by a registered nurse.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treatment rooms are well stocked for use.  Wound documentation was reviewed and included wound assessment, treatment plans and evaluations and progress notes for all wounds (including one laceration, one surgical wound, two chronic wounds, an abrasion, four skin tears, one resident with incontinence associated dermatitis and one other).  Wound care nurse specialist advice is readily available, and photos are taken of all chronic wounds and a separate short-term care plan is generated for each wound.  Continence products are available and specialist continence advice is available as needed.  Short-term care plans with interventions and ongoing evaluations by the RN were evidenced.  A physiotherapist referral is initiated if required and assessment of any equipment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 qualified diversional therapist and one in training) provide an activities programme over seven days each week.  The programme is planned monthly and residents receive a personal copy of planned monthly activities.  Activities plan for the month are displayed in large style colour format on noticeboards around the facility.  A diversional therapy plan is developed for each individual resident based on assessed needs.  Residents are encouraged to join in activities that are appropriate and meaningful and are encouraged to participate in community activities.  The service has a van that is used for resident outings and a car that is used for resident transport.  Residents were observed participating in activities on the days of audit.  Resident meetings (monthly) provide a forum for feedback relating to activities.  Residents who are unable to or choose not to participate are visited for one-on-one discussions and activities at least weekly.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 on interview, stated they enjoy joining in with all the activities offered on the programme and attending the residents meeting.  They also have outings with groups, including going to a church group and the DT provides materials so individual activities can be undertaken when they choose.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are comprehensive, related to each aspect of the care plan and recorded the degree of achievement of goals and interventions.  Short-term care plans are utilised for residents and any changes to the long-term care plan were dated and signed.  Short-term care plans were in use.  Care plans are evaluated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family/whānau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were readily accessible for staff.  Chemical bottles sighted have correct manufacturer labels.  Chemicals are stored safely throughout the facility.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and serviced apartments (two separate buildings) have a current warrant of fitness that expires on 2 February 2020.  There is a full-time property manager who is available on call for facility matters.  Planned and reactive maintenance systems are in place.  All electrical equipment is on a schedule for testing and tagging and due in July 2019.  Clinical equipment is on a schedule for calibration and checking, next scheduled for April 2019.  Hot water temperatures have been tested and are on a monthly schedule with readings between 42-45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stated they have all the equipment required to provide the care documented in the care plans.  The following equipment is available: electric beds, ultra-low beds, air alternating mattresses, sensor mats, standing and lifting hoists, mobility aids and wheel-on weigh scales.</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reception area in the serviced apartments that care staff utilise as an office including secure storage for medications and treatment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toilet and shower facilities are of an appropriate design to meet the needs of the residents.  The fixtures, fittings, floors and wall surfaces are constructed from materials that can be easily cleaned.  Six bedrooms have an ensuite with two other rooms sharing an ensuite.  The remainder of resident rooms all have a hand basin and share bathroom and toilet facilities.  There are communal toilets located near the lounge/dining rooms.  Communal toilet and shower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and two conservatories within the care part of the facility.  The dining room is spacious, and located directly off the kitchen/servery area.  All areas are easily accessible for the residents.  The furnishings and seating are appropriate for the consumer group.  Residents interviewed reported they were able to move around the facility and staff assisted them when required.  Activities take place in the lounge.  </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 building there is a large cafe and lounge area.  Rest home residents in the apartments utilise these areas, and if they wish they can have their meals delivered directly to their own units.  Meals delivered from the care facility to rest home residents in the apartment building are done so in hot boxes.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laundry has a dirty to clean work flow.  There are dedicated housekeeping staff and the laundry is undertaken by apartment caregiving staff.  All linen and personal clothing was laundered onsite.  Cleaning trolleys are kept in designated locked cupboards.  Residents and family interviewed reported satisfaction with the cleaning and laundry service.  Internal audits monitor the effectiveness of the cleaning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Emergencies, first aid and CPR are included in the mandatory in-service programme.  There is a first aid trained staff member on every shift.  Summerset in the River City has an approved fire evacuation plan and fire dills occur six monthly.  The village manager developed a comprehensive evacuation plan and training that was more specific to the site with its three buildings (care centre, leisure centre and serviced apartment) and three fire systems.  The training plan is used for orientation and staff training.  The service has been able to meet fire evacuation compliance following the evacuation plan.  The service has alternative cooking facilities with barbeques and gas bottles available in the event of a power failure.  A generator is available from the Palmerston North facility.  Emergency battery backup is available for emergency lights and the call bell system.  There is adequate food available at all times for at least three days and a 10,000-litre water tank onsite.  Call bells were evident in residents’ rooms, lounge areas and toilets/bathrooms.  The facility is secured at night with call bell access at the front doors.  The village is secure with main gates that are locked after hours with access for village residents and emergency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that the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a signed job description.  The infection control programme is linked into the quality management system and reviewed annually at head office in consultation with infection control officers.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been in the role six months.  She has a graduate certificate in infection prevention and control (2012) and recently attended an infection control DHB workshop.  There are monthly “zoom” meetings with all Summerset infection control officers.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comprises of a cross section of staff from areas of the service.  The infection control team meet monthly and provide a report to the quality improvement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has access to an infection control nurse specialist at the DHB, laboratory, pharmacy, GPs and expertise within the organisation.  The regional quality manager oversees infection control across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A urinary tract infection (UTI) reduction plan was commenced to reduce UTIs which has been successful.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Reports and graphs are displayed on the staffroom infection control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has no residents on restraint or with enablers.  Alternative strategies and effective falls prevention strategies have ensured the facility remains restraint free since January 2018.  Staff receive training around restraint minimisation that includes annual competency assessments.  The restraint coordinator (CNL) oversees restraint minimisation for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843"/>
        <w:gridCol w:w="79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encourages good practice beyond the expected full attainment.  The service has conducted quality improvement projects to support Summerset “do no harm” component as part of its commitment to improving resident care.  There is evidence of action taken based on findings that has made improvements to service provision and resident care for unintentional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first” programme was implemented based on the DHB dietitian recommendations and provided options for high calorie every day foods or ingredients.  Residents identified with any unintentional weight loss are offered at least two choices of high calories foods per day such as added cream to cereals/porridge, ice-cream to desserts, milk-based desserts, yoghurts and fortified milkshakes.  The service appointed a weight management champion who reviews weight data weekly, including the weekly weighs of residents on the “food first” programme and liaises regularly with the dietitian.  Residents who do not gain weight despite the additional high calorie foods are referred to the dietitian and GP for review.  Staff education around food and hydration and the principles of “food first” was completed August 2018 at the commencement of the programme.  Three residents currently on the “food first” programme monitoring reports and weekly weights reviewed demonstrated the “food first” action plan had resulted in weight gain with one gaining 8kg over 6 months, one gaining 4.7kg over three months and another gaining 1.7kg over one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for the reduction of urinary tract infections (UTI) by 20% was commenced following an increase in UTIs in October 2018.  The service has been successful in reducing the incidence of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developed a project action plan for the reduction of UTIs in consultation with the infection control committee.  The action plan included infection control education around hand hygiene, use of personal protective wear, hydration and continence management.  Sessions were repeated and demonstrate 100% attendance.  Regular fluid rounds and toileting continued.  Trends and analysis of infections for individual residents identified cause, treatment and management of UTIs which was reflected in the residents’ care plans.  Infection data is discussed at the monthly management and clinical meetings and care staff interviewed could describe the signs and symptoms of UTI that they would report to the RN.  In December there was a spike in UTIs (five) with three of five residents prone to UTIs (one with an indwelling catheter).  Laboratory results are received and identify any sensitives and resistance to the prescribed antibiotics.  The GP liaises with the service in the management of all UTIs.  The service has been successful in reducing the incidence of UTIs by 78% over a five-month period from October 2018 to February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maintaining a restraint free environment without compromising resident safety from January 2018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strategies are implemented on an individual basis for all residents at risk of falls and residents with challenging behaviours.  These include ensuring resident care needs are met (fluids, re-positioning, toileting), call bells within reach and resident involvement in activities.  There have been two restraint minimisation trainings per year, restraint competencies and restraint audits completed.  Staff interviewed were knowledgeable in restraint minimisation and alternative strategies.  The service developed a pamphlet for families and residents on minimising restraints which is included in the welcome information pack.  There has been an increase in hospital level residents over the last year and there have been no incidents that relate to not having a restraint in place.  The number of falls have not increased due to being a restraint free environment and have decreased by 12 falls this quarter in comparison to the first quarter of 2018.  The service has been successful in maintaining a restraint free environment over the last year to date.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River City</w:t>
    </w:r>
    <w:bookmarkEnd w:id="58"/>
    <w:r>
      <w:rPr>
        <w:rFonts w:cs="Arial"/>
        <w:sz w:val="16"/>
        <w:szCs w:val="20"/>
      </w:rPr>
      <w:tab/>
      <w:t xml:space="preserve">Date of Audit: </w:t>
    </w:r>
    <w:bookmarkStart w:id="59" w:name="AuditStartDate1"/>
    <w:r>
      <w:rPr>
        <w:rFonts w:cs="Arial"/>
        <w:sz w:val="16"/>
        <w:szCs w:val="20"/>
      </w:rPr>
      <w:t>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