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Campbell Retirement Village - Logan Campbell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Campbell Retirement Village</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Logan Campbell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2019</w:t>
      </w:r>
      <w:bookmarkEnd w:id="7"/>
      <w:r w:rsidRPr="009418D4">
        <w:rPr>
          <w:rFonts w:cs="Arial"/>
        </w:rPr>
        <w:tab/>
        <w:t xml:space="preserve">End date: </w:t>
      </w:r>
      <w:bookmarkStart w:id="8" w:name="AuditEndDate"/>
      <w:r w:rsidR="00A4268A">
        <w:rPr>
          <w:rFonts w:cs="Arial"/>
        </w:rPr>
        <w:t>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Ryman Logan Campbell is part of the Ryman Group of retirement villages and aged care facilities.  They provide rest home, dementia and hospital (geriatric and medical) level care for up to 152 residents.  There were 72 residents at the time of the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village manager is appropriately qualified and experienced and is supported by an assistant to the manager, a clinical manager/registered nurse and four unit coordinators.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This audit identified that the service fully met all the standards audited.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making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demonstrated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All rooms have ensuites.  External areas are safe and well-maintained with shade and seating available.  Fixtures, fittings and flooring are appropriate and toilet/shower facilities are constructed for ease of cleaning.  There are spacious lounges and dining areas in each unit.  The dementia unit allows for safe wandering and areas for group or individual activities.  Resident rooms are spacious and allow for safe movement of staff and mobility equipment.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requiring the use of restraint or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1"/>
        <w:gridCol w:w="1280"/>
        <w:gridCol w:w="97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at orientation and as indicated on the annual in-service calendar.  Interviews with twenty-five staff (one assistant to the manager, seven caregivers on the am and pm shifts (two rest home, two hospital, two dementia, one serviced apartment), six registered nursing staff (three unit coordinators/registered nurses (RNs), three staff RNs), one chef, one maintenance, one health and safety representative (gardener), one laundry, two cleaners, two diversional therapists, one activities assistant, one physiotherapist (contracted), one chef) confirmed their understanding of the Code.  Staff could provide examples of how the Code applies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Eleven residents interviewed (five rest home including one in a serviced apartment, and six hospital) and eight relatives (one rest home, two hospital and five dementia) confirmed that staff respect their privacy and support them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on all nine resident files reviewed (four rest home- including one serviced apartment resident, three hospital including one on an ACC respite contract and two dementia residents).  Discussions with staff confirmed that they are familiar with the requirements to obtain informed consent for entering rooms and personal care.  Enduring power of attorney (EPOA) evidence is filed in the residents’ charts.  All resident files reviewed in the dementia unit had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 opportunities to attend events outside of the facility.  There is an on-site café where residents were observed enjoying a coffee with family.  Residents are assisted to meet responsibilities and obligations as citizens, for example, voting and completion of the census.  Residents are supported and encouraged to remain actively involved in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includes written and verbal complaints, dates and actions taken.  Complaints are being managed in a timely manner, meeting timeframes determined by the Health and Disability Commissioner (HDC).  Two complaints were lodged in 2018 and no complaints have been lodged in 2019 (year to date).  Both complaints received were reviewed.  Timeframes were met, the complaints were investigated, and they were documented as resolved.  Staff are kept informed of complaints received that are related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Posters of the Code are displayed in English and in Māori.  The village manager discusses the information pack with residents/relatives on admission.  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During the audit, staff were observed to be respectful of residents’ privacy by knocking on doors prior to entering resident rooms and keeping doors closed when cares were being provided.  A light outside of the room is turned on during cares to alert others.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involved residents in decisions about their care.  Resident preferences are identified during the admission and care planning process and this includes family involvement.  Interviews with residents confirmed their values and beliefs were considered.  There were instructions provided to residents on entry regarding responsibilities of personal belongings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could describe definitions around abuse and neglect that aligned with policy.  Staff training on abuse/neglect is provided annually.  Residents and relatives interviewed confirmed that staff treat residents with respect.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Resident rooms are blessed following a death.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identified as Māori during the audit.  He was unavailable to be interviewed.  Cultural needs were addressed in this resident’s Māori health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 are invited to be involved.  Individual beliefs or values are discussed and incorporated into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has had an increasing number of residents who identify with their Chinese ethnicity.  Actions have been undertaken to ensure that the resident’s individual values and beliefs are recognised and acknowledged.  Care plans are detailed and individualised to reflect their specific needs, likes and dislikes.  Staff are made aware of particular events and Chinese holidays (eg, Chinese New Year).  Communication with residents has been enhanced by employing staff who are able to speak Mandarin/Cantonese.  Staff are also liaising with the Auckland DHB who have provided a reference document “Chinese Culture’ that has been used as a staff training tool for RNs to assist them in writing culturally specific care plans for each resident who identifies as Chinese.  </w:t>
            </w:r>
          </w:p>
          <w:p w:rsidR="00EB7645" w:rsidRPr="00BE00C7" w:rsidP="00BE00C7">
            <w:pPr>
              <w:pStyle w:val="OutcomeDescription"/>
              <w:spacing w:before="120" w:after="120"/>
              <w:rPr>
                <w:rFonts w:cs="Arial"/>
                <w:b w:val="0"/>
                <w:lang w:eastAsia="en-NZ"/>
              </w:rPr>
            </w:pPr>
            <w:r w:rsidRPr="00BE00C7">
              <w:rPr>
                <w:rFonts w:cs="Arial"/>
                <w:b w:val="0"/>
                <w:lang w:eastAsia="en-NZ"/>
              </w:rPr>
              <w:t>Six monthly multi-disciplinary team meetings are scheduled to assess if resident needs are being met.  Family are invited to attend.  Discussions with relatives confirmed that residents’ values and beliefs are considered.  Residents interviewed confirmed that staff consider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Staff sign a code of conduct/house rules document during their induction to the facility, evidenced in all 10 staff files reviewed.   The monthly full facility meetings include discussions on professional boundaries and concerns as they arise.  Interviews with two managers (village manager, clinical manger)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It is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Quality improvement plans (QIPs)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MyRyman electronic resident information (eg, care plans, monitoring charts) have been implemented that allow for more one-on-one time with residents and less paper-based documentation.  Interventions (eg, weight management, falls management strategies, pain management, behaviour management) documented on myRyman are implemented and are reviewed daily by a registered nurse.  MyRyman care plans provide evidence to indicate when cares are being delivered.  Interviews with care staff confirmed that the system allows for a greater amount of time to be spent reviewing the care plan with the resident in the resident’s room and assists caregivers in remembering to record when specific cares are being delivered (eg, turning charts, food and fluid intake and output).  The myRyman system notifies care staff when there is a change to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visits the facility twice a week with 24/7 on-call services in place.  Links are embedded with allied health professionals.  A physiotherapist is contracted for five days a week.  In the selection of resident files reviewed, care plans reflected input from physiotherapists, dietitians, and podiatrists.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responsibilities around open disclosure and communication.  Staff are required to record family notification when entering an incident into the database.  Fifteen incidents reviewed indicated that this requirement is being met.  Family members interviewed confirmed they are notified following a change of health status of the resident.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Logan Campbell Retirement Village is a new Ryman Healthcare facility located in Greenlane.  This 122-bed care centre is located on three levels.  There are also 82 serviced apartments with 30 serviced apartment beds certified for rest home level of care.  All beds in the hospital and rest home are certified as dual purpose.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all but one dementia wing was open.  This wing was prepared to open later in the week.  There were 30 hospital level residents and 27 rest home level residents (which included one resident at rest home level of care in the serviced apartments) and 15 residents in the dementia wing.  Six residents were on respite (one rest home and five hospital) with the rest home level respite resident on an ACC contract.  The remaining residents were under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The organisation-wide objectives are translated at each Ryman service by way of the TeamRyman programme that includes a schedule across the year.  Quality objectives are being implemented at Logan Campbell Retirement Village.  These are regularly reviewed to reflect progress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completes annual planning and has comprehensive policies/procedures to provide rest home care, hospital (geriatric and medical) and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Logan Campbell has leadership experience in the service industry, and aged care management.  The manager commenced 12 March 2018 and completed the specific manager orientation in another Ryman facility prior to Logan Campbell opening and has also completed a health and wellbeing in dementia course (UK based).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commenced June 2018 and has many years’ experience with another Ryman village as a caregiver, registered nurse and unit coordinator.  The managers are supported by a unit coordinator for each service area (eg, rest home, hospital, dementia and serviced apartments).  The management team is supported by a regional manager and Ryman Christchurch (head office).  Ryman has also introduced new roles to support management teams in the opening of new villages.  This includes an operations project manager and an operations project clinical manager.  These two managers were on site during this full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fulfils the village manager’s role during the temporary absence of the village manager with support by the assistant to the manager and regional operations manager.  The organisation completes annual planning and has comprehensive policies/procedures to provide rest home, hospital (medical and geriatric) and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Logan Campbell is implementing a quality and risk management system that is directed by Ryman Christchurch.  Quality and risk performance is reported across facility meetings and also to the organisation's management team.  Discussions with the managers and staff and review of management and staff meeting minutes demonstrated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for each wing and relative meetings are held six-monthly.  The village manager attends the meetings and minutes are maintained.  Resident and relative surveys are scheduled to be completed annually.  They have not yet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full facility (monthly)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meeting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committee meetings.  A health and safety officer (gardener) is appointed who has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to March 2019.  A review of the hazard register and the maintenance register, indicated that there is resolution of issues identified.  All contractors are inducted to health and safety processes by reception staff.  All new staff are inducted and orientated to the facility and are advised of the health and safety programme.  There is also annual health and safety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identifying residents at risk of falling while using their mobility equipment.  Falls have showed a reduction for rest home level residents over the past two months (January/February).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15 incident/accident reports (eg, witnessed and unwitnessed falls, skin tears, challenging behaviours) identified that all were fully completed and include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situations that would be reported to statutory authorities.  Examples were provided which included one police investigation for a missing resident and pressure injury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(HR) policies including recruitment, selection, orientation and staff training and development.  All ten staff files reviewed (four caregivers, three registered nurses, two activities staff, one chef) included a signed contract, job description relevant to the role the staff member is in, police check, induction, application form and two reference checks.  All files reviewed of staff who had been employed for over eight weeks included eight-week performance reviews.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A general orientation programme that is attended by all staff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Training is offered multiple times/days to ensure that staff are able to attend.  Registered nurses are supported to maintain their professional competency.  Five of eight registered nurses have completed their interRAI training.  RNs attend journal club meetings.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and caregivers related to specialised procedure or treatment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 village manager, assistant to the manager and clinical services manager/RN work Monday – Friday.  All beds in the rest home and hospital wings are certified for dual purpose.</w:t>
            </w:r>
          </w:p>
          <w:p w:rsidR="00EB7645" w:rsidRPr="00BE00C7" w:rsidP="00BE00C7">
            <w:pPr>
              <w:pStyle w:val="OutcomeDescription"/>
              <w:spacing w:before="120" w:after="120"/>
              <w:rPr>
                <w:rFonts w:cs="Arial"/>
                <w:b w:val="0"/>
                <w:lang w:eastAsia="en-NZ"/>
              </w:rPr>
            </w:pPr>
            <w:r w:rsidRPr="00BE00C7">
              <w:rPr>
                <w:rFonts w:cs="Arial"/>
                <w:b w:val="0"/>
                <w:lang w:eastAsia="en-NZ"/>
              </w:rPr>
              <w:t>The rest home (Tamaki) wing (occupancy 25 rest home level residents) is staffed with a unit coordinator/RN Sunday - Thursday.  One RN covers on Friday and Saturday in her absence.  The am shift is staffed with two long and one short shift caregivers, the PM shift is staffed with two long and one short shift caregivers and the night shift is staffed with two long shift caregivers.  One activities coordinator covers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hospital (Cornwall) wing (occupancy 30 hospital level and 1 rest home level) is staffed with a unit coordinator/RN Tuesday – Saturday.  Two RNs cover the AM shift, and two RNs cover the PM shift.  One RN covers the night shift.  The AM shift is staffed with four long and two short shift caregivers, the PM is staffed with two long and two short shift caregivers and the night shift is staffed with two long shift caregivers.  One activities staff is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One wing in the dementia unit (Acacia) is open and is at capacity (occupancy 15 dementia level residents).  This secure unit is staffed with one unit coordinator/RN Tuesday – Saturday.  One staff RN covers the unit coordinator in her absence (Sunday and Monday).  The AM shift is staffed with one long and one short shift caregivers, the PM shift is staffed with one long and one short shift caregivers and the night shift is staffed with two long shift caregivers.  One activities staff is rostered seven days a week.  Plans are in place to open the second wing of the secure dementia unit in one weeks’ time with two admissions scheduled.  Staffing is organised with one caregiver scheduled to be rostered for the AM, PM and night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(1 rest home level resident) is staffed with one unit coordinator five days a week.  This individual is a foreign trained RN but has not completed the New Zealand nursing equivalency.  A senior caregiver is rostered on the two days that the unit coordinator is not available.  The AM shift is staffed with one long and one short shift caregiver, and the PM is staffed with two short shift caregivers (1600 – 2100).  After 2100, a designated caregiver in the rest home wing covers the serviced apartments.  The call system in the serviced apartments is linked to the caregiver pagers.  One activities staff is available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(both hard copy and electronic) are protected from unauthorised access.  Entries are legible, dated and signed by the relevant care staff or registered staff, including their designation.  Residents’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on the 48-hour complimentary service for village residents, short-term stays, rest home, hospital and dementia level of care services.  The admission agreements reviewed met the requirements of the ARRC contract.  Exclusions from the service are included in the admission agreement.  All long-term admission agreements and the short stay resident under ACC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Communication with family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Registered nurse and senior caregivers have completed annual medication competencies and education.  Registered nurses have completed syringe driver training.  Medications are stored safely in all units (hospital unit, rest home, serviced apartments and dementia care unit).  All regular medications (blister packs) are checked on delivery by RNs against the electronic medication chart.  A bulk imprest supply order is maintained for hospital level residents.  All medications were within the expiry dates.  Eyedrops and ointments are dated on opening.  The medication fridges are checked weekly and temperatures sighted were within the acceptable range.  There was one rest home resident and one hospital level resident self-medicating on the day of audit.  Medications were stored safely in the resident’s room.  Three monthly self-medication competencies had been completed by the RN and authorised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on the electronic medication system were reviewed (six hospital, eight rest home and four dementia care).  Medications are reviewed at least three-monthly by the GP.  The GP and the community mental health nurse review medications for dementia care residents.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head chef, a second chef and kitchenhands who cover the week between them.  All have current food safety certificates.  The head chef oversees the procurement of the food and management of the kitchen.  The food control plan has been submitted with a site visit scheduled for October 2019.  There is a well-equipped kitchen and all meals are cooked on site.  Meals are plated in the kitchen and taken to the dining rooms in hot boxes and served directly from these.  Meals going to rooms on trays have covers to keep the food warm.  Special equipment such as lipped plates are available.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The cook reviews dietary forms and updates preferences and requirements onto a quick reference list as required.  There are snacks available at all times in the dementia unit.  The four-weekly menu cycle is approved by a dietitian.  All residents and family members interviewed were very satisfied with the meals.  The chef visits a different area each day and circulates amongst the residents receiving feedback.  Residents also have the opportunity to feedback on the service through resident meetings and surveys.  Management liaise regularly with the head chef to monitor feedback and identify any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Initial assessments had been completed on the myRyman system within 24-48 hours of admission for all residents entering the service including short-stay residents and residents admitted under the 48-hour complimentary service (as viewed in a previous file).  InterRAI assessments had been completed for all long-term residents whose files were reviewed.  Applicable myRyman assessments are completed and reviewed at least six monthly or when there is a change to residents’ health/risk.  The outcome of all assessments is reflected in the myRyman care plan.  Behaviour assessments had been completed for the files of the two dementia care residents with the outcomes included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resident goals and provide detail to guide care.  There was a behaviour management plan in the files of dementia care residents that included interventions and strategies for de-escalation including activities.  MyRyman care plans reviewed have been updated when there were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district nurse, wound care nurse and mental health services for older people.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Registered nurse interviewed stated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management plans are completed on myRyman.  When wounds are due to be dressed a task is automated on the RN daily schedule.  Wound assessment, wound management, evaluation forms, and wound monitoring occurs as planned in the sample of wounds reviewed.  There are currently two non-facility acquired unstageable pressure injuries, five necrotic toe wounds being managed palliatively, two chronic ulcers, one skin tear and two skin conditions.  There has been input from the GP and gerontology wound nurse specialist has had input into the pressure injury management and the toe wounds.  Photos of wounds demonstrated progress or deterioration.  Pressure injury prevention equipment is available and is being used.  Caregivers document changes of position electronically.</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six activity officers (including three qualified diversional therapists – DT), and three activity assistants implement the Engage activities programme in each unit that reflects the physical and cognitive abilities of the resident groups.  The activity officers (DTs) work Monday to Friday in each of the four areas (hospital, special care unit, rest home and serviced apartments) and are supported by weekend activity officers.  The rest home programme is Monday to Friday and the hospital and  dementia unit is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for each unit, delivered to each resident’s room.  A daily activity programme is written on the lounge whiteboard.  Residents have the choice of a variety of Engage activities in which to participate including (but not limited to); triple A exercises, board games, quizzes, music, reminiscing, sensory activities, crafts and walks outside.  The rest home resident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two vans available for outings and has a permanent driver on staff and available as required.  There are regular combined activities and celebrations held in the ground floor village lounges for residents from all the units.  Dementia care residents (as appropriate) join in the rest home/hospital activities for entertainment and other celebrations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care units include triple A exercises, garden walks in the two courtyards and around the village, singing, happy hours, hand therapy, word games, make and take and game competition.  The men attend the combined units’ men’s group for activities and outings.  The activity officer is on duty eight hours a day, seven days a week from 9.30 am to 6.00 pm.  Kindergarten groups and pet therapy visits occur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village lounge three weeks of the month.  A bible study group meets in the same place as the church service one day a month.  There are regular entertainers visiting the facility.  Special events like birthdays, St Patricks day, Easter, Father’s Day, Anzac Day and Christmas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eight long-term resident care plans reviewed had been evaluated by the registered nurses six monthly or when changes to care occurs.  Five residents (one hospital, two rest home and two dementia care residents) have not been at the service long enough for an evaluation.  The RN completes a daily evaluation for the ACC respite resident.  The multidisciplinary review involves the RN, GP, caregiver and resident/family if they wish to attend.  Activities plans are evaluated at the same time as the care plan.  There are one to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geriatrician, mental health services for older people, and dietitian.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certificate of public use in place valid until 21 March 2019.  The application for the code of compliance has been lodged.  There is a full-time maintenance manager and two gardeners.  The maintenance manager is available on-call for urgent facility matters.  There are essential contractors available 24/7.</w:t>
            </w:r>
          </w:p>
          <w:p w:rsidR="00EB7645" w:rsidRPr="00BE00C7" w:rsidP="00BE00C7">
            <w:pPr>
              <w:pStyle w:val="OutcomeDescription"/>
              <w:spacing w:before="120" w:after="120"/>
              <w:rPr>
                <w:rFonts w:cs="Arial"/>
                <w:b w:val="0"/>
                <w:lang w:eastAsia="en-NZ"/>
              </w:rPr>
            </w:pPr>
            <w:r w:rsidRPr="00BE00C7">
              <w:rPr>
                <w:rFonts w:cs="Arial"/>
                <w:b w:val="0"/>
                <w:lang w:eastAsia="en-NZ"/>
              </w:rPr>
              <w:t>All requests are recorded in a register held at the main reception (sighted) which has been signed off as requests have been addressed.  There is a 12-monthly planned maintenance schedule in place that includes the calibration of medical equipment, electrical testing (bi-annually) of electric beds and hoists and electrical testing.  Hot water temperatures in resident areas are monitored three-monthly as part of the environmental audit and stable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lounges and hallways have carpet tiles with vinyl surfaces in the bathrooms, and toilets are carpeted.  The corridors are wide, have safety rails and promote safe mobility with the use of mobility aids.  All rooms and communal areas allow for safe use of mobility equipment.  Residents were observed moving freely around the areas with mobility aids where required.  External areas and gardens provide paths, seating and shade.  Each dementia unit has two secure external decks providing access to open air and small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registered nurses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within the facility have ensuites.  Fixtures, fittings and flooring are appropriate.  Toilet/shower facilities are easy to clean.  There is ample space in toilet and shower areas to accommodate shower chairs and hoists if appropriate.  There are mobility toilets near all communal lounges.  There are privacy signs on all 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can personalise their rooms and the rooms are large enough for family and friends to socialise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are dining rooms in each area.  The dementia units each have a separate dining room and main lounge with a smaller quiet sensory lounge.  There is a shop, café, and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datasheets.  Personal protective equipment is available.  Cleaning and laundry services are monitored through the internal auditing system.  The cleaner’s equipment was attended at all times or locked away.  The cleaning trolley also has a locked cupboard for chemicals.  All chemicals on the cleaners’ trolley sighted were labelled.  There are two sluice rooms in the hospital and rest home units and one in the dementia unit for the disposal of soiled water or waste and the sluicing of soiled linen if required.  The sluice rooms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emergency and disaster manual includes (but is not limited to) dealing with emergencies and disasters, essential locations, internal emergencies and external emergencies.  Emergencies, first aid and CPR are included in the mandatory in-services programme every two years and the annual training plan includes emergency training.  A review of staff files confirmed that staff have completed induction that includes health and safety and emergency preparedness.  First aid training for staff is in place with a staff member on duty at all times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power systems in place to be able to cook in the event of a power failure.  Battery operated emergency lighting is in place, which runs for at least two hours if not more.  There is a generator available on-site.  There is a civil defence kit for the whole facility and drinkable water is stored in large holding tanks.  A civil defence folder includes procedures specific to the facility and organisation.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the clinical manager and to the village manager.  The system software can be monitored.  The system includes an electronic beam management technology which is used to alert staff on the movements of residents in their rooms who are at high risk of falling.  Alerts are sent electronically to staff for those high-risk residents who are attempting to get out of bed unsupervised.  Once the resident gets out of bed at night the ensuite light automatically comes on.  </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fire service (12 April 2018).  Fire training has been completed at induction for all staff.  Fire drills were last completed in November 2018 with drills conducted on different days for each level in the care centre.</w:t>
            </w:r>
          </w:p>
          <w:p w:rsidR="00EB7645" w:rsidRPr="00BE00C7" w:rsidP="00BE00C7">
            <w:pPr>
              <w:pStyle w:val="OutcomeDescription"/>
              <w:spacing w:before="120" w:after="120"/>
              <w:rPr>
                <w:rFonts w:cs="Arial"/>
                <w:b w:val="0"/>
                <w:lang w:eastAsia="en-NZ"/>
              </w:rPr>
            </w:pPr>
            <w:r w:rsidRPr="00BE00C7">
              <w:rPr>
                <w:rFonts w:cs="Arial"/>
                <w:b w:val="0"/>
                <w:lang w:eastAsia="en-NZ"/>
              </w:rPr>
              <w:t>The doors of the village automatically lock down at 1800 to 0700 with keypad access after-hours.  There are documented security procedures and CTV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All bedrooms have individual air conditioning units.  All heating is electrical.  Staff and residents interviewed stated that this is effective.  The entire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the clinical manager.  A job description defines the role and responsibilities for infection control.  The infection prevention and control committee are combined with the health and safety committee, which meets three-monthly.  The programme is set out annually from head office and directed via the quality programme.  The programme is reviewed annually as part of the Ryman training day for infection control officers.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sanitisers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meet two monthly.  The infection control officer has been in the role since June 2018 and completed an induction to the role and has completed external, on line education with the Ministry of Health.  The infection control officer collates infection rates and provide reports to the committee, management and facility meetings including trends and analysis of infections.  The infection and prevention officer have access to an infection prevention and control nurse specialist from the DHB, microbiologist, public health, GPs, local laboratory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Staff are informed of infection control through the variety of facility meetings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opening.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The clinical manager is the designated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Logan Campbell is currently restraint-free and there were no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provided around restraint minimisation and enablers, falls prevention,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Campbell Retirement Village - Logan Campbell Retirement Village</w:t>
    </w:r>
    <w:bookmarkEnd w:id="58"/>
    <w:r>
      <w:rPr>
        <w:rFonts w:cs="Arial"/>
        <w:sz w:val="16"/>
        <w:szCs w:val="20"/>
      </w:rPr>
      <w:tab/>
      <w:t xml:space="preserve">Date of Audit: </w:t>
    </w:r>
    <w:bookmarkStart w:id="59" w:name="AuditStartDate1"/>
    <w:r>
      <w:rPr>
        <w:rFonts w:cs="Arial"/>
        <w:sz w:val="16"/>
        <w:szCs w:val="20"/>
      </w:rPr>
      <w:t>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