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Terrace View Lifecare Limited - Terrace View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Terrace View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Terrace View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March 2019</w:t>
      </w:r>
      <w:bookmarkEnd w:id="7"/>
      <w:r w:rsidRPr="009418D4">
        <w:rPr>
          <w:rFonts w:cs="Arial"/>
        </w:rPr>
        <w:tab/>
        <w:t xml:space="preserve">End date: </w:t>
      </w:r>
      <w:bookmarkStart w:id="8" w:name="AuditEndDate"/>
      <w:r w:rsidR="00A4268A">
        <w:rPr>
          <w:rFonts w:cs="Arial"/>
        </w:rPr>
        <w:t>28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Terrace View Lifecare Limited provides rest home and hospital level care for up to 63 residents. The service is operated by a private company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four areas requiring improvement relating to staffing, documentation, evaluation of care plans and care plan changes.  Improvements have been made to cleaning processes, addressing the area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 multidisciplinary team that includes a registered nurse and a physiotherapist, assesses residents’ needs on admission. Care plans are individualised, based on a comprehensive range of information. Regular medical reviews by the person’s chosen general practitioner are on file. Residents’ files reviewed demonstrated that multidisciplinary review and evaluation processes for the care provided are planned and efforts are made to keep the records updated. Service delivery is consistent with the documentation in long term care plans.</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that they may choose to participate in. Community links are maintained with residents going to external events and with community groups visiting. </w:t>
      </w:r>
    </w:p>
    <w:p w:rsidRPr="00A4268A" w:rsidP="00621629">
      <w:pPr>
        <w:spacing w:before="240" w:line="276" w:lineRule="auto"/>
        <w:rPr>
          <w:rFonts w:eastAsia="Calibri"/>
        </w:rPr>
      </w:pPr>
      <w:r w:rsidRPr="00A4268A">
        <w:rPr>
          <w:rFonts w:eastAsia="Calibri"/>
        </w:rPr>
        <w:t>Safe medicine management systems are in place. Medicines are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and personal preferences catered for. Safe food handling processes are implemented. Residents informed they enjoy the meals and that there are adequate options.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No enablers and no restraints were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3"/>
        <w:gridCol w:w="1280"/>
        <w:gridCol w:w="102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complaints register reviewed showed that four complaints have been received over the past year and that actions taken, through to an agreed resolution, are documented and completed within the timeframes. Action plans showed any required follow up and improvements have been made where possible. The facility manager (FM)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which is reviewed annually, outlines the purpose, values, scope, direction and goals of the organisation. The documents described annual and long-term objectives and the associated operational plans. A sample of monthly reports to the owners showed adequate information to monitor performance is reported including  occupancy, sales, inquiries, deaths, sick leave, staff vacancies, meetings, education, compliance, outstanding issues, complaints and adverse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(FM) who holds relevant qualifications and has been in the role for four years. Responsibilities and accountabilities are defined in a job description and individual employment agreement.  The FM confirmed knowledge of the sector, regulatory and reporting requirements and maintains currency through ongoing professional development and sector meetings and seminars.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(DHB) and the Ministry of Health (MoH) for younger persons with a disability (YPD), respite, complex medical conditions, palliative care and rest home care. Fifty-two residents were receiving services under the contracts at the time of audit. Twenty-four rest home level residents and 21 hospital level. Seven residents under these contracts were private paying. Another seven residents were independent living in the facility’s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meeting/quality and risk team meetings and staff meetings. Staff reported their involvement in quality and risk management activities through audit activities and meeting participation. Relevant corrective actions are developed and implemented to address any shortfalls. Resident and family satisfaction surveys are completed annually. The most recent survey showed overall satisfaction in all areas with improvement in food service. One staff issue was raised, and this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There are detailed cleaning routines and staff were aware of and followed these, meeting a previous required improvement. The electronic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owners in the monthly report, and they have access on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They advised there has been one notification of a significant event made to the Ministry of Health, since the previous audit. This occurred on the day of the audit and relates to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and annual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There are enough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four weeks of a roster cycle confirmed adequate staff cover has been provided, with staff replaced in any unplanned absence. However, there is a shortage of registered nurses (RNs) and the clinical nurse manager (CNM) has been filling these gaps; this requires improvement.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electronic system for medicine management was observed on the day of audit. The staff observed demonstrated good knowledge and had a clear understanding of their roles and responsibilities related to each stage of medicine management.  On the day of audit, there was good clinical nurse manager oversight of the support workers who were administering medicines. Records sighted confirmed that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A pharmacist makes weekly visits and signs in newly packaged medicines and any controlled medicines.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identity and date recorded on the commencement and discontinuation of medicines and all requirements for pro re nata (PRN) medicines met. The required three-monthly GP medication review is consistently recorded on the medicine chart.  Standing orders are not used and nor are faxed medicine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reviews are completed by the GP and a registered nurse for each of the three people who self-medicate and on the day of audit these were current. The self-medication process is a compromise due to the physical restrictions of their storage in the resident’s room.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through the adverse event reporting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experienced cooks and kitchen hands and is in line with recognised nutritional guidelines for older people.  The menu follows summer and winter patterns. Although review of the menu by a qualified dietitian was marginally overdue on the day of audit, a date in early April had been secured for this to be re-reviewed to confirm that it meets the needs of the older adult.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control plan issued by the local council that is valid until 1 February 2020. Food temperatures, including for high risk items, are monitored appropriately and recorded as part of the plan, as are hot food temperatures.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consistently accommodated in the daily meal plan. Special equipment, to meet individual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Residents were seen to be given sufficient time to eat their meal in an unhurried fashion and those requiring assistance had this provided. The dining room was calm and relaxed during the mid-day meal.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that the overall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‘up there with the best available in such facilities’. Care staff confirmed that care is provided as outlined in the documentation for each person. A range of equipment and resources was available, although as mentioned throughout the report, there is a need for more registered nurses to ensure all aspects of residents’ care and support are met at the level required and within the expected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holding the national Certificate in Diversional Therapy. One of the therapists was interviewed and expressed confidence in the activity programme while telling stories about residents’ involvement.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Individualised activity plans are subsequently developed using a holistic approach. The evaluation and timeframes vary with additional reviews as indicated, but all residents’ files reviewed had an evaluation and review report that had been completed within the past six months, even when the support plan had not been evaluated. Participation records were also evident.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 normal community activities. Individual, group activities and regular events are offered. Activities assessments are regularly reviewed to help formulate an activities programme that is meaningful to both individuals and groups of the residents. Residents and families/whānau are involved in evaluating and improving the programme through residents’ meetings, informal meetings and satisfaction surveys. Residents interviewed confirmed they find the programme interesting and varied with some expression excitement about the diversity of options. Strong community links are being maintained with regular visits to events and local venues, as well as external groups such as school children and entertainers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plans for normal care plan evaluations to occur every six months in conjunction with the six-monthly interRAI reassessment, or as residents’ needs change. Where progress is different from expected, the registered nurses are expected to make appropriate changes to the residents’ care plans. Examples of short-term care plans were sighted but not all included evidence of reviews occurring, although there was evidence of short-term problems having been transferred onto the long-term care plans. Residents and families/whānau interviewed provided examples of when they had received verbal updates from the clinical nurse manager, and they spoke of previous involvement in evaluation and review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and review processes were checked during the review of residents’ service delivery plans. There were a number of examples of short and long-term care plans not having been reviewed, or the goals and progress formally evaluated, within the expected timeframes. This had become an issue from October/November 2018. Likewise, there were examples of long-term care plans not being updated when changes had occurred for the person. Although corrective actions were raised during the audit to address these issues, it is acknowledged that the service provider had already identified the concerns in an internal audit and a planning document for change was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Jan 2020)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infection control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and owners.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no residents were using enablers. This was evident on review of the restraint approval group minutes, observation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16"/>
        <w:gridCol w:w="1280"/>
        <w:gridCol w:w="6825"/>
        <w:gridCol w:w="2769"/>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four weeks of roster cycle confirmed adequate staff cover has been provided, with staff replaced in any unplanned absence. However, there is a shortage of RNs and the CNM has been filling these gaps. The facility has been actively advertising for RNs since November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shortage of RN staff. The facility has been recruiting for two extra RNs since November without success. While all shifts are covered with an RN, and staffing meets minimum requirements, this is because the CNM often steps in to cover for absenteeism. This leaves the required CNM duties not always being completed including documentation in residents’ records.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adequate RN staff to provide safe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systems in place for assessment, service planning and evaluation and review processes are comprehensive. Effective documentation provided by a quality consultancy is in use. It was noted during the review of residents’ records, both for one of the tracers and some of the extended sample, that there were gaps, or incomplete documents. Examples included overdue interRAI reassessments, overdue evaluation and reviews, inconsistencies between records such as a fluid balance chart in use but no indication of why, short term problems being described in progress notes, rather than in short term care plans and blank multi-disciplinary forms.  One person admitted at the end of 2018 still did not have a long-term care plan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nurse manager confirmed during interview that there is currently insufficient registered nurse resource available and some of the required documentation had not been completed within the expected timeframes.  This had also been identified in an internal audit of residents’ records that had been undertaken by the facility manager, and although an organisational action plan was under development this has not yet been implemented due to difficulties recruiting registered nurses. (Refer Standard 1.2.8)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related to residents’ assessment, planning and evaluation processes is not all being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numbers of registered nurses will be available to enable residents’ assessment, planning and evaluation processes and documentation is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Frameworks are in place for evaluation and review processes, which are expected to be completed when significant changes occur for a resident or at least six-monthly. A multi-disciplinary team meeting template is available to assist with the evaluation of residents’ goals. The clinical nurse manager has a record of due dates for interRAI reassessments, for the evaluations of the level of achievement of personal goals and for care plans. Progress notes are comprehensive and these detail updates of progress with short term problems and long-term care plans. Evaluations of activity plans are being consistently completed at six monthly intervals, with previous reviews completed three-monthly.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and reviews of care plans due prior to November 2018 were evident in all residents’ files reviewed. However, there was no evidence that care plan reviews due after this date had been completed, there were blank multidisciplinary forms on residents’ files and staff reported using progress notes to ensure residents’ needs were met. There were few short-term care plans and one dated November 2018 did not state if the issue had resolved, or if it had been transferred to the long-term care plan . One issue for one resident had reportedly resolved but meantime a similar issue had occurred for the person, although this was not evident in the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Overdue evaluations mean that the degree of achievement, or response to support and/or interventions, was not always evident in short and long-term care plans that were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documented evaluations and reviews that are current and indicate the degree of achievement or response to the goals, support and/or interventions.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reports written on each shift are comprehensive and informative. In addition to evaluations and reviews not occurring within expected timeframes, there were examples of service delivery plans not accurately reflecting the current needs of the residents. Fluid balance records were being completed for one person; however, the reasons were not evident in medical or nursing notes and the care plan had not been updated. Records of a GP visit to a resident noted concerns about adverse behaviours that were also noted in progress notes. The behaviour section of the care plan stated there were no concerns and there was no behaviour management plan. There was no short-term care plan found for a person with a scalp infection during the month of the audit. The facility manager and clinical nurse manager attributed these shortcomings to the lack of registered nurse resource available to update this level of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three significant examples found of care plans not being updated to reflect changes in the residents’ conditions.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Re-assessments are undertaken, and relevant changes are made to the service delivery plan, when changes to a residents’ short and/or long-term needs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Terrace View Lifecare Limited - Terrace View Retirement Village</w:t>
    </w:r>
    <w:bookmarkEnd w:id="58"/>
    <w:r>
      <w:rPr>
        <w:rFonts w:cs="Arial"/>
        <w:sz w:val="16"/>
        <w:szCs w:val="20"/>
      </w:rPr>
      <w:tab/>
      <w:t xml:space="preserve">Date of Audit: </w:t>
    </w:r>
    <w:bookmarkStart w:id="59" w:name="AuditStartDate1"/>
    <w:r>
      <w:rPr>
        <w:rFonts w:cs="Arial"/>
        <w:sz w:val="16"/>
        <w:szCs w:val="20"/>
      </w:rPr>
      <w:t>28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