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Lexhill Limited - Kaikohe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Lexhill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Kaikohe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2019</w:t>
      </w:r>
      <w:bookmarkEnd w:id="7"/>
      <w:r w:rsidRPr="009418D4">
        <w:rPr>
          <w:rFonts w:cs="Arial"/>
        </w:rPr>
        <w:tab/>
        <w:t xml:space="preserve">End date: </w:t>
      </w:r>
      <w:bookmarkStart w:id="8" w:name="AuditEndDate"/>
      <w:r w:rsidR="00A4268A">
        <w:rPr>
          <w:rFonts w:cs="Arial"/>
        </w:rPr>
        <w:t>15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also reviewed the dementia unit for capacity for a further bed (from nine to ten beds).  The service has an email from the DHB approving the use of the tenth room and a respite resident was occupying the room.   At the time, of audit there was no notification to the ministry of health for the additional room.  The additional bedroom is fit for purpose.  The room was originally used as the nurse’s station.  This has meant that the computer, phone, any nursing notes and medication trolley (locked) were stored in the foyer at the time of audit.  There was no designated staff space to discuss residents in privacy.  The dining room has space for only nine chairs, and the lounge has only eight easy chairs with no room for further chairs.  For these reasons the dementia unit has not been verified as suitable to increase to 10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Kaikohe Care Centre provides rest home, hospital (geriatric and medical) and dementia levels of care for up to 55 residents.  On the day of the audit there were 48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An experienced aged care facility manager, who is a registered nurse, manages the service, she has been in the role since February 2019 and is supported by two acting clinical nurse leaders, whist the permanent nurse leader is on leave.  Residents and family interviewed were complimentary of the staff. </w:t>
      </w:r>
    </w:p>
    <w:p w:rsidRPr="00A4268A">
      <w:pPr>
        <w:spacing w:before="240" w:line="276" w:lineRule="auto"/>
        <w:rPr>
          <w:rFonts w:eastAsia="Calibri"/>
        </w:rPr>
      </w:pPr>
      <w:r w:rsidRPr="00A4268A">
        <w:rPr>
          <w:rFonts w:eastAsia="Calibri"/>
        </w:rPr>
        <w:t>The service has addressed five of the eleven shortfalls from the previous audit around; family communication post incident, frequency of meetings, the internal audit process, training for staff and resident’s entry to services.  There continues to be improvements required around; timeliness of assessments and care plans, care plan interventions, implementation of care, activities programme, medication management and environmental maintenance.</w:t>
      </w:r>
    </w:p>
    <w:p w:rsidRPr="00A4268A">
      <w:pPr>
        <w:spacing w:before="240" w:line="276" w:lineRule="auto"/>
        <w:rPr>
          <w:rFonts w:eastAsia="Calibri"/>
        </w:rPr>
      </w:pPr>
      <w:r w:rsidRPr="00A4268A">
        <w:rPr>
          <w:rFonts w:eastAsia="Calibri"/>
        </w:rPr>
        <w:t xml:space="preserve">This audit identified further improvements required around; complaints management and staffing.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Discussions with residents and relatives confirmed that residents and where appropriate their families, are involved in care decisions.  Regular contact is maintained with families, including if a resident is involved in an incident or has a change in their current health.  There is a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manager is responsible for the day-to-day operations.  Goals are documented for the service with evidence of regular reviews.  A quality and risk management programme is implemented.  The risk management programme includes managing adverse events and health and safety processes.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all stages in the provision of care including interRAI assessments, risk assessments, development of care plans and evaluations.  Resident files demonstrated service integration.  Residents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rsidRPr="00A4268A" w:rsidP="00621629">
      <w:pPr>
        <w:spacing w:before="240" w:line="276" w:lineRule="auto"/>
        <w:rPr>
          <w:rFonts w:eastAsia="Calibri"/>
        </w:rPr>
      </w:pPr>
      <w:r w:rsidRPr="00A4268A">
        <w:rPr>
          <w:rFonts w:eastAsia="Calibri"/>
        </w:rPr>
        <w:t xml:space="preserve">The menu is designed by a dietitian.  All baking and meals are cooked on-site.  Individual and special dietary needs are accommodated.  Nutritious snacks are available 24 hours in all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for the safe assessment and review of restraint and enabler use.  During the audit, seven residents were using restraints and one resident using an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data identifies trends and areas for improvement.  Organisational benchmarking occurs.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2"/>
        <w:gridCol w:w="1280"/>
        <w:gridCol w:w="10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however this has only recently been implemented from February 2019.  Complaints forms are readily available.  Information about complaints is provided on admission.  Interviews with two rest home and two hospital residents and families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online complaint’s register, (commenced February 2019) that includes written and verbal complaints, dates and actions taken demonstrates that complaints are being managed in a timely manner.  Prior to February the service utilised a paper-based system (but logged complaints onto an online system).  Not all complaints since the previous audit and prior to February 2019 document follow-up and reply to the complainant, and not all complaint documentation was available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discussed at the monthly staff/quality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One complaint which involved the Health and Disability Commissioner and DHB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range of information regarding the scope of services provided to the resident on entry to the service, and any items they must pay for that are not covered by the agreement.  Interviews with two family members (one from the dementia unit and one hospital) confirmed that they are kept informed.  Seven of seven incident forms reviewed documented that the family had been informed.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if required.  The facility manager reported that this has not been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Kaikohe Care Centre provides rest home, hospital (geriatric and medical) and dementia levels of care for up to 55 residents, 24 beds are dual purpose beds.  On the day of the audit there were 48 residents in the care centre; 23 at rest home level, 15 at hospital level, and 10 at dementia level.  All residents were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certified for nine dementia beds; however, the service has an email from the DHB providing permission for an additional bed for a respite dementia bed.  The Ministry of Health had yet to be informed.  This audit has not verified that the current configuration of the dementia unit as suitable for an additional bed (link 1.4.2).</w:t>
            </w:r>
          </w:p>
          <w:p w:rsidR="00EB7645" w:rsidRPr="00BE00C7" w:rsidP="00BE00C7">
            <w:pPr>
              <w:pStyle w:val="OutcomeDescription"/>
              <w:spacing w:before="120" w:after="120"/>
              <w:rPr>
                <w:rFonts w:cs="Arial"/>
                <w:b w:val="0"/>
                <w:lang w:eastAsia="en-NZ"/>
              </w:rPr>
            </w:pPr>
            <w:r w:rsidRPr="00BE00C7">
              <w:rPr>
                <w:rFonts w:cs="Arial"/>
                <w:b w:val="0"/>
                <w:lang w:eastAsia="en-NZ"/>
              </w:rPr>
              <w:t>An experienced facility manager is responsible for day-to-day operations.  She has been in the role since February 2019 and is an experienced registered nurse and elderly care manager.  The facility manager is supported in her role by two acting clinical nurse leaders, whist the current clinical nurse leader is on maternity leave.</w:t>
            </w:r>
          </w:p>
          <w:p w:rsidR="00EB7645" w:rsidRPr="00BE00C7" w:rsidP="00BE00C7">
            <w:pPr>
              <w:pStyle w:val="OutcomeDescription"/>
              <w:spacing w:before="120" w:after="120"/>
              <w:rPr>
                <w:rFonts w:cs="Arial"/>
                <w:b w:val="0"/>
                <w:lang w:eastAsia="en-NZ"/>
              </w:rPr>
            </w:pPr>
            <w:r w:rsidRPr="00BE00C7">
              <w:rPr>
                <w:rFonts w:cs="Arial"/>
                <w:b w:val="0"/>
                <w:lang w:eastAsia="en-NZ"/>
              </w:rPr>
              <w:t>Business goals are in place with evidence of regular reviews.  The facility manager is in regular contact with the owner.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system that was introduced by an external consultant.  This includes a system of internal audits, meetings, and reporting.  An on-line database records and collates a range of quality outcomes such as complaints, incidents and accidents and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established with the assistance of an external consultant.  Policies and procedures reflect evidence of reviews as per the document control schedule.  New and/or revised policies are made available for staff to read and sign that they have read and understand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skin tears and pressure injuries.  Staff/quality meetings have been held regularly and document that data had been collated from incident forms and results were communicated to staff as well as internal audits, infection control, health and safety and restraint.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place, and audits have been completed as per the audit schedule.  Audit outcomes have been reported at facility meetings.  Corrective actions have been documented for audits undertaken where opportunities for improvements were identified.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have been held two monthly and a satisfaction survey was in process of being completed at the time of report.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the availability of physiotherapy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meets current legislative requirements.  It is overseen by a health and safety officer who is the maintenance officer and facility manager.  The service is working with the union to engage a staff representative as well.  A health and safety induction programme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incidents are entered onto the electronic system with immediate action noted and any follow-up action required.  A review of seven falls related incident/accident forms from across all areas of the service, identified that all were completed and included follow-up by a RN.  Required interventions identified from the incident forms were transferred to care plans where required.  Neurological observations were documented following falls that were unwitnessed or included a head injury.  The resident with the facility-acquired pressure injury (now healed) had an incident form completed.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leaders and facility manager are involved in the adverse event process, with links to the applicable meetings.  The facility manager was able to identify situations that would be reported to statutory authorities.  There has been no section 31 notification made since the previous audit and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are in place that describe staff roles, responsibilities and accountabilities.  The practising certificates of nurses and other health professionals were current.  Five staff files were reviewed (two caregivers, one RN, one cook and one diversional therapist).  Evidence of signed employment contracts and job descriptions were sighted.  Annual performance appraisals for staff and an orientation were documented in all five staff files reviewed and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Caregivers working in the dementia unit who have been employed for over 18 months have their dementia qualification.  The service has made training a priority since the previous audit, with a wide range of compulsory and non-compulsory subjects provided.  Training has included; wound care, pain management, falls, clinical assessment, and a range of infection control related training.  Training has been well attended; this is an improvement from the previous audit.  RN specific training has included syringe driver, wound care and skin care.  All staff who administer medications have an up-to-date medication competency.  There are four interRAI trained RNs.</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accessed training related to managing an elderly care facility in the last year and the IC coordinator has undertaken training for an infection control coordinator.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Careerforce assessor and the service is continuing to support Careerforce training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annual leave and rostering policy which includes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there is a registered nurse for every shift Monday to Sunday.  The manager and a clinical nurse leader, work six days a week and also provide on call.</w:t>
            </w:r>
          </w:p>
          <w:p w:rsidR="00EB7645" w:rsidRPr="00BE00C7" w:rsidP="00BE00C7">
            <w:pPr>
              <w:pStyle w:val="OutcomeDescription"/>
              <w:spacing w:before="120" w:after="120"/>
              <w:rPr>
                <w:rFonts w:cs="Arial"/>
                <w:b w:val="0"/>
                <w:lang w:eastAsia="en-NZ"/>
              </w:rPr>
            </w:pPr>
            <w:r w:rsidRPr="00BE00C7">
              <w:rPr>
                <w:rFonts w:cs="Arial"/>
                <w:b w:val="0"/>
                <w:lang w:eastAsia="en-NZ"/>
              </w:rPr>
              <w:t>Care staff</w:t>
            </w:r>
          </w:p>
          <w:p w:rsidR="00EB7645" w:rsidRPr="00BE00C7" w:rsidP="00BE00C7">
            <w:pPr>
              <w:pStyle w:val="OutcomeDescription"/>
              <w:spacing w:before="120" w:after="120"/>
              <w:rPr>
                <w:rFonts w:cs="Arial"/>
                <w:b w:val="0"/>
                <w:lang w:eastAsia="en-NZ"/>
              </w:rPr>
            </w:pPr>
            <w:r w:rsidRPr="00BE00C7">
              <w:rPr>
                <w:rFonts w:cs="Arial"/>
                <w:b w:val="0"/>
                <w:lang w:eastAsia="en-NZ"/>
              </w:rPr>
              <w:t>Hospital (15 hospital residents) AM; One caregiver on full shifts and one caregiver on half shift, PM; one caregiver on full shifts and one caregiver on half shift.  There was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Rest home (23 rest home residents); AM; one caregiver on full shift and one caregiver on half shift, PM; one caregiver full shift and one caregiver on half shift.  There was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Dementia (10 dementia residents – noting they currently only certified for nine); AM one caregiver on full shift and one caregiver on half shift, PM; one caregiver full shift and one caregiver on half shift.  There was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 staffing was adequate.  The residents in the dementia unit can ether join other residents outside the unit for activities or caregivers assist with activities in the dementia unit (link to 1.3.7.2).  Caregivers in the dementia unit stated they are well staffed and are able to provide activities for residents.  Staffing for the dementia unit and for the service overall has been identified as a shortfall, this was a shortfall from the previous certification, but not the previous surveillance audit (for which staffing had been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sampled records.  Residents reported that the admission agreements were discussed with them in detail by the manager.  Two dementia resident files reviewed included a copy of the needs assessments and a designated EPOA,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service has implemented an electronic medication process since the previous audit.  Staff have received training and a competency for the new process.  Medication reconciliation of monthly medication packs is completed, and any errors fed back to the pharmacy.  Registered nurses and senior care assistants who administer medications have been assessed for competency.  Care staff interviewed could describe their role regarding medicine administration.  Medications were stored safely in the rest home and hospital.  The dementia unit medication trolley was locked, but stored in the corridor and the medication keys held by the cleaner.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on the electronic system.  All medications had photographs and allergies documented, but not documented they had been reviewed at least three-monthly by the GP.  All medication had been signed for by the prescriber, all as needed medication included an indication for use, all short course medications included a stop date and all eye drops had been dated on opening, this is an improvement from the previous audit.  Not all medication not given included a reason.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The head cook oversees the provision of food services.  A second cook and two kitchenhands provide cover across a seven-day service.  All meals are prepared and cooked on-site.  All kitchen staff had food safety training.  There is a six-weekly seasonal menu.  The food control plan in in the process of verification.</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 completes the dietary requirement forms on admission and provides a copy to the kitchen.  Additional or modified foods are also provided by the service.  Cultural needs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were monitored and recorded weekly.  Cooked meals are transferred into heated bain maries and transported from the kitchen directly to the dining rooms.  The residents interviewed confirmed that they are provided with alternative meals as per request.  All residents are weighed monthly.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demonstrated service integration.  Assessments and care plans include input from allied health.  Residents and their family/whānau interviewed reported that they are involved in the care planning and review process.  The long-term and short-term care plans reviewed did not all include support required to meet the resident’s goals and needs, this is a continued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introducing computer-based care planning and are using a combination of both as the transition is in its infancy (since February), and not all interventions have been fully documented (link 1.3.5.2).  The process includes the wound care plans and not all aspects of wound care planning has been fully documented, this is a continued shortfall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wounds documented for the rest home and hospital at the time of the audit, there were no wounds in the dementia unit.  A review of the wound register and interviews with management identified that the service only had one resident with a grade 2 pressure injury which had healed at the time of audit.  This residents repositioning was not always documented, and the pressure mattress was set incorrectly.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one day a week.</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were sighted; however, repositioning, checking and behavioural monitoring was not consistently documented as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diversional therapists across five days a week with activities led by the caregivers over the weekend.  The diversional therapist interviewed displayed an understanding of requirements.  All activities are supported by caregivers.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one activity plan for rest home, hospital and dementia, weekly activities are posted on a large whiteboard in the main hallway and on resident noticeboards in each area.  Activities include outings, baking, table tennis, bowls, bingo, church services and quizzes.  The dementia unit residents are able to join in any of the activities, and were observed to do so, but there is no dementia specific activity plan, or 24-hour activities plans for dementia residents.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and from this information an individual diversional therapy plan is developed.  The diversional therapy plan evidences review at six-monthly reviews.  The reviews document the resident’s progress towards meeting goals.  The resident’s activities participation log was sighted.  Residents interviewed indicated the activities provided by the service are adequate and enjoyable.  One dementia relative suggested that dementia specific activities could be an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had been evaluated by registered nurses for long-term residents who had been at the service six months and longer.  Written evaluations for long-term residents describe the resident’s progress against the residents identified goals.  Not all care plans are updated for change of health status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three-monthly review by the medical practitioner.  The family members interviewed confirmed they had been invited to attend the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 (expires 30 June 2019).  The fire evacuation scheme document reviewed was approved 25 June 2007.</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Electrical safety tests have been documented annually.  Some areas requiring maintenance were observed during the audit and this is a continued shortfall from the previous audit.  The dementia unit had a strong malodour and has no hot water in the dining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records reveals water temperatures are all below 45 degrees Celsius and whenever it was out of range, corrective actions had been taken. </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inspected are safe and include appropriate seating and shade.  The lounges are carpeted or have vinyl floor coverings, dining rooms and hallways have vinyl floor covering, bedrooms have a mix of carpet and vinyl.  The front outdoor area has a tarmac and gravel driveway with grassed areas and flower bed.</w:t>
            </w:r>
          </w:p>
          <w:p w:rsidR="00EB7645" w:rsidRPr="00BE00C7" w:rsidP="00BE00C7">
            <w:pPr>
              <w:pStyle w:val="OutcomeDescription"/>
              <w:spacing w:before="120" w:after="120"/>
              <w:rPr>
                <w:rFonts w:cs="Arial"/>
                <w:b w:val="0"/>
                <w:lang w:eastAsia="en-NZ"/>
              </w:rPr>
            </w:pPr>
            <w:r w:rsidRPr="00BE00C7">
              <w:rPr>
                <w:rFonts w:cs="Arial"/>
                <w:b w:val="0"/>
                <w:lang w:eastAsia="en-NZ"/>
              </w:rPr>
              <w:t>One hospital section of five bedrooms and a lounge was closed for extensive refurbishment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maintenance schedule in place around equipment.  There is appropriate equipment available at the service.  All equipment was included in a preventative maintenance schedule.  Staff interviewed stated there was enough equipment available and equipment is replaced as needed.</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reviewed the dementia unit for capacity for a further bed (from nine to ten beds).  The service has an email from the DHB approving the use of the tenth room and a respite resident was occupying the room on the day of audit.  There was no notification to the ministry of health for a tenth bed at the time of audit.  The additional bedroom is fit for purpose as it is a bedroom, however the room has been used at the nurse’s station.  This has meant that the computer, phone, any nursing notes and medication trolley (locked) were stored in the foyer at the time of audit.  There was no designated staff space to discuss residents in privacy.  The dining room has space for only nine chairs, and the lounge has only eight easy chairs with no room for further chairs.  For these reasons, the dementia unit has not been verified as suitable for 20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service meetings.  Staff are informed through the variety of clinical meetings held at the facility.  The infection prevention and control programme links with the quality programme.  There is liaison with the GPs and laboratory service that advise and provide feedback and information to the service.  Systems in place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seven residents with restraints in the rest home and hospital (four bedrails and three lap belts) and none in the dementia unit.  There were two residents using an enabler.  Two resident files reviewed; one for an enabler and one for restraint had all appropriate assessments and reviews in place.  Staff training has been provided around restraint minimisation and challenging behaviour (link to 1.3.6.1).</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discussion in the RN meeting that shows they are working to reduce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148"/>
        <w:gridCol w:w="205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combination of a paper-based and computer-based complaints logging.  All new complaints since February are logged onto the computer-based complaints log.  The two complaints logged onto the complaints log includes written and verbal complaints, dates and actions taken, and demonstrates that complaints are being managed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prior to February were paper-based and did not all document responses to complainants, and not all complaints were able to be retrieved on the days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complaints received during November 2018 have no documented response to complainants.  (ii) One complaint from district nursing and received via the DHB following the previous unannounced audit, was not able to be located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complaints are followed up according to right ten of the Code of Rights.  (ii) Ensure that complaint documentation is retrievable.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in place for each of the wings (rest home, hospital and dementia services).  The service has a staffing policy and a process to measure staffing levels against a staffing tool.  However, the staffing was identified as an area for concern on the days of audit, specifically for the hospital and the dementia wings.  On the first day of audit, following a van trip for dementia residents, one caregiver was managing a resident who refused to go back in to the unit, and the other was attempting to assist and encourage eight other residents off the van and into the unit.  There was no staff member in the unit to ‘receive’ the residents back.  On the second day of audit the auditor arrived in the dementia unit to find both caregivers locked in the dining room (away from the residents) and only the cleaner with residents (who was also attending to her own duties).  The cleaner also held the medication keys (link to 1.3.12.1).  The staff advise that the RN is available to assist, but on the two days of audit clinical supervision was not evidenced, and on investigation not specifically planned. </w:t>
            </w:r>
          </w:p>
          <w:p w:rsidR="00EB7645" w:rsidRPr="00BE00C7" w:rsidP="00BE00C7">
            <w:pPr>
              <w:pStyle w:val="OutcomeDescription"/>
              <w:spacing w:before="120" w:after="120"/>
              <w:rPr>
                <w:rFonts w:cs="Arial"/>
                <w:b w:val="0"/>
                <w:lang w:eastAsia="en-NZ"/>
              </w:rPr>
            </w:pPr>
            <w:r w:rsidRPr="00BE00C7">
              <w:rPr>
                <w:rFonts w:cs="Arial"/>
                <w:b w:val="0"/>
                <w:lang w:eastAsia="en-NZ"/>
              </w:rPr>
              <w:t>Caregiver staffing in the hospital has one long shift and one-half shift for the AM and PM, and one caregiver at night.  The rest home has the same roster.  This leaves one caregiver in each of the units from 2 pm to 3pm, and 8 pm to the following morning each day.  Which does not allow sufficient staff to assist in the dementia unit if needed (which is a separate building), and does allow enough staff for the hospital level residents who are two-person assist.   It was also noted that a resident in the rest home (who was in the process of being re-assessed for dementia level care) was very high needs for the staff with no additional staffing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residents in the dementia unit were not observed to be safely supervised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a lack of clinical supervision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(iii) The caregiving staffing is not always appropriate for the level of need and the layout of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the residents in the dementia unit are always supervised.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(ii) Ensure there is an implemented and documented process for clinical supervision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there are appropriate staffing taking into account the level of need and the layout of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safely guide staff and to manage the medication process.  The medication round observed evidenced good practice by the RN when administering medications.  All medication in the medication charts had been verified (electronically signed) by the GP, but not all documented a three-monthly medication review.  The dementia unit cleaner was observed to hold the medication keys.  Not all medication documented the reason it was not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ten medication charts reviewed had not been reviewed by the GP in the last three months.</w:t>
            </w:r>
          </w:p>
          <w:p w:rsidR="00EB7645" w:rsidRPr="00BE00C7" w:rsidP="00BE00C7">
            <w:pPr>
              <w:pStyle w:val="OutcomeDescription"/>
              <w:spacing w:before="120" w:after="120"/>
              <w:rPr>
                <w:rFonts w:cs="Arial"/>
                <w:b w:val="0"/>
                <w:lang w:eastAsia="en-NZ"/>
              </w:rPr>
            </w:pPr>
            <w:r w:rsidRPr="00BE00C7">
              <w:rPr>
                <w:rFonts w:cs="Arial"/>
                <w:b w:val="0"/>
                <w:lang w:eastAsia="en-NZ"/>
              </w:rPr>
              <w:t>ii)  Two of ten charts reviewed did not document the reason a medication had not been administered.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medication keys were held by the cleaner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medication charts are reviewed by the GP at least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ii)  Ensure the medication charts document the reason a medication had not been administered.</w:t>
            </w:r>
          </w:p>
          <w:p w:rsidR="00EB7645" w:rsidRPr="00BE00C7" w:rsidP="00BE00C7">
            <w:pPr>
              <w:pStyle w:val="OutcomeDescription"/>
              <w:spacing w:before="120" w:after="120"/>
              <w:rPr>
                <w:rFonts w:cs="Arial"/>
                <w:b w:val="0"/>
                <w:lang w:eastAsia="en-NZ"/>
              </w:rPr>
            </w:pPr>
            <w:r w:rsidRPr="00BE00C7">
              <w:rPr>
                <w:rFonts w:cs="Arial"/>
                <w:b w:val="0"/>
                <w:lang w:eastAsia="en-NZ"/>
              </w:rPr>
              <w:t>iii)  Ensure medication keys are held by medication competent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four interRAI trained registered nurses (two were on extended leave at the time of audit).  The service schedules when interRAI assessments are due, and all interRAI assessment for the four long-term residents had been documented six monthly (one was respite).  New residents were not always assessed within timeframes and new long-term care plans were not always documented within timeframes.  This is a continued shortfall from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two dementia resident’s interRAI and long-term care plan were not documented within 21 days. </w:t>
            </w:r>
          </w:p>
          <w:p w:rsidR="00EB7645" w:rsidRPr="00BE00C7" w:rsidP="00BE00C7">
            <w:pPr>
              <w:pStyle w:val="OutcomeDescription"/>
              <w:spacing w:before="120" w:after="120"/>
              <w:rPr>
                <w:rFonts w:cs="Arial"/>
                <w:b w:val="0"/>
                <w:lang w:eastAsia="en-NZ"/>
              </w:rPr>
            </w:pPr>
            <w:r w:rsidRPr="00BE00C7">
              <w:rPr>
                <w:rFonts w:cs="Arial"/>
                <w:b w:val="0"/>
                <w:lang w:eastAsia="en-NZ"/>
              </w:rPr>
              <w:t>ii) One of one rest home resident files reviewed did not have the interRAI and long-term care plan within 21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interRAI assessment and long-term care plans are documented within set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 place for all residents.  Staff informed that they are easy to follow and understand.  Although a significant improvement was seen since the previous audit, the care plans did not reflect all resident needs.  This is a continued finding from the previous two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did not have a short-term care plan in place or the LTCP updated for an eye infection.  The long-term care plan did not include interventions around showering and the use of a specialist chair.</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did not have interventions in the care plan to manage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(iii) One hospital level resident’s long-term care plan had not been updated to reflect the change of need following a hospital admission, including nursing interventions for pain management following a hip replacement.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plans have documented interventions to address all current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interviewed were positive about the care provided at Kaikohe care centre.  RNs are caregivers were able to describe the care needs and monitoring for residents.  However, this was not always documented or observed to be provided.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introducing an electronic care planning system and wound care plans are included in the process.  The wound care plans had not been fully integrated into the system at the time of audit.  Wound care plans did not include all interventions to manage the wound, there were evaluations in place for each of the three wounds and the pressure injury was healed on the day of audit.  One resident did not have a care plan in place for a toe infection and dressing.  Wound care was identified as a high risk finding at the previous audit, so has been identified as a continued high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resident’s two-hour turns were not documented as occurring.  This same resident was nursed on a specialist air mattress; however, the mattress was set on ‘hard’ and at an incorrect weight setting for the resident.  This resident had a bedrail insitu which was documented as discontinued.</w:t>
            </w:r>
          </w:p>
          <w:p w:rsidR="00EB7645" w:rsidRPr="00BE00C7" w:rsidP="00BE00C7">
            <w:pPr>
              <w:pStyle w:val="OutcomeDescription"/>
              <w:spacing w:before="120" w:after="120"/>
              <w:rPr>
                <w:rFonts w:cs="Arial"/>
                <w:b w:val="0"/>
                <w:lang w:eastAsia="en-NZ"/>
              </w:rPr>
            </w:pPr>
            <w:r w:rsidRPr="00BE00C7">
              <w:rPr>
                <w:rFonts w:cs="Arial"/>
                <w:b w:val="0"/>
                <w:lang w:eastAsia="en-NZ"/>
              </w:rPr>
              <w:t>(ii) Wound care plans were evaluated and recorded the care provided, but did not include an assessment and management plan.  One dementia resident did not have a wound care plan in place for an identified wound.</w:t>
            </w:r>
          </w:p>
          <w:p w:rsidR="00EB7645" w:rsidRPr="00BE00C7" w:rsidP="00BE00C7">
            <w:pPr>
              <w:pStyle w:val="OutcomeDescription"/>
              <w:spacing w:before="120" w:after="120"/>
              <w:rPr>
                <w:rFonts w:cs="Arial"/>
                <w:b w:val="0"/>
                <w:lang w:eastAsia="en-NZ"/>
              </w:rPr>
            </w:pPr>
            <w:r w:rsidRPr="00BE00C7">
              <w:rPr>
                <w:rFonts w:cs="Arial"/>
                <w:b w:val="0"/>
                <w:lang w:eastAsia="en-NZ"/>
              </w:rPr>
              <w:t>(iii) One rest home resident did not have behaviour monitoring and checks documented as per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resident monitoring is completed, and care provided and documented according to the care plan and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wound management plans are in place and implemented for all identified wounds.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required behaviour monitoring and checks are documented as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documented an activity plan.  Resident care plans did not reflect activities across 24-hours for those residents in the dementia unit.  This is a continued shortfall from the previous audit.  There is an activity plan in place for the service, but no specific activity plan in place for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two dementia unit residents care plans did not document a 24-hour approach to activities. </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group activity plan for the residents in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dementia residents have a 24-hour activity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there is a dementia specific activity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 was warm, and the main rest home and hospital was very clean.  The dementia unit had a malodour.  The service is in the process of significant refurbishment.  There continues a number of maintenance issues that needs to be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environment has areas that require repair, including peeling wallpaper, painting chipped and peeling, a cracked sink in the dementia unit.  (ii) The dementia unit had a strong smell of urine.  (iii) The dementia dining room has no hot water.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reactive maintenance issues are addressed.  (ii).  Ensure the dementia unit has a fresh and clean odour.  (iii).  Ensure that hot water is available on the dining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Lexhill Limited - Kaikohe Care Centre</w:t>
    </w:r>
    <w:bookmarkEnd w:id="58"/>
    <w:r>
      <w:rPr>
        <w:rFonts w:cs="Arial"/>
        <w:sz w:val="16"/>
        <w:szCs w:val="20"/>
      </w:rPr>
      <w:tab/>
      <w:t xml:space="preserve">Date of Audit: </w:t>
    </w:r>
    <w:bookmarkStart w:id="59" w:name="AuditStartDate1"/>
    <w:r>
      <w:rPr>
        <w:rFonts w:cs="Arial"/>
        <w:sz w:val="16"/>
        <w:szCs w:val="20"/>
      </w:rPr>
      <w:t>14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