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Lester Heights Hospital Limited - Lester Heights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Lester Heights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Lester Heights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2019</w:t>
      </w:r>
      <w:bookmarkEnd w:id="7"/>
      <w:r w:rsidRPr="009418D4">
        <w:rPr>
          <w:rFonts w:cs="Arial"/>
        </w:rPr>
        <w:tab/>
        <w:t xml:space="preserve">End date: </w:t>
      </w:r>
      <w:bookmarkStart w:id="8" w:name="AuditEndDate"/>
      <w:r w:rsidR="00A4268A">
        <w:rPr>
          <w:rFonts w:cs="Arial"/>
        </w:rPr>
        <w:t>28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Lester Heights has been owned and managed by the owner for two and a half years.  The service is certified for rest home, hospital and residential disability – physical levels of care.  On the day of the audit there were a total of 26 residents living at the facility across their 35 certified beds.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owner manager is an experienced manager and works full time.  An experienced clinical manager and lead registered nurse provide day to day clinical management.</w:t>
      </w:r>
    </w:p>
    <w:p w:rsidRPr="00A4268A">
      <w:pPr>
        <w:spacing w:before="240" w:line="276" w:lineRule="auto"/>
        <w:rPr>
          <w:rFonts w:eastAsia="Calibri"/>
        </w:rPr>
      </w:pPr>
      <w:r w:rsidRPr="00A4268A">
        <w:rPr>
          <w:rFonts w:eastAsia="Calibri"/>
        </w:rPr>
        <w:t>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 xml:space="preserve">Two of the two shortfalls identified as part of the previous audit have been addressed.  These were around family communication post incident and the signing of medications. </w:t>
      </w:r>
    </w:p>
    <w:p w:rsidRPr="00A4268A">
      <w:pPr>
        <w:spacing w:before="240" w:line="276" w:lineRule="auto"/>
        <w:rPr>
          <w:rFonts w:eastAsia="Calibri"/>
        </w:rPr>
      </w:pPr>
      <w:r w:rsidRPr="00A4268A">
        <w:rPr>
          <w:rFonts w:eastAsia="Calibri"/>
        </w:rPr>
        <w:t>This audit has identified three areas requiring improvement around; timeliness of assessments, care planning and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Lester Heights has a fully implemented, quality and risk system in place.  There is a business plan with goals for the service that has been regularly reviewed.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An activity plan is documented.  All meals are prepared on-site.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are documented processes for the management of waste and hazardous substances in place, and incidents are reported in a timely manner.  Chemicals are stored safely throughout the facility.  There is safe access to the communal areas and outdoor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and five with an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facility manager using a complaints register.  There have been ten complaints made in for 2018 and one in 2019 year to date.  All complaints have been managed in line with Right 10 of the Code.  A review of complaints documentation evidenced resolution of the complaint to the satisfaction of the complainant and advocacy offered.  One complaint was via the Health and Disability advocacy service, this complaint has been followed up and closed to the satisfaction of the complainant and the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(two rest home and three hospital and one younger person, also hospital level)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One anonymous complaint to the DHB was reviewed.  This was reviewed by the DHB at the time and an action plan implemented around areas that were substantiated.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assistant manager and clinical manager confirmed family are kept informed.  Relatives (two hospital)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and this is an improvement from the previous audit.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  The communication needs of younger residents are addressed, including a resident who is unable to hear.  This resident is able to lip read but also has a communication board to assist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Lester Heights has been owned and managed by the owner and his wife for two and a half years.  An experienced clinical manager and a registered nurse lead provide day-to-day clinical management.  The service is certified for rest home, hospital and residential disability – physical levels of care.  All 35 beds at Lester Heights are certified for dual-purpose.  On the days of the audit, there were a total of 26 residents living at the facility.  There were six residents receiving rest home level care, including one funded under a long-term support - chronic health conditions (LTS-CHC) contract and two funded under a mental health contract.  There were 20 residents receiving hospital level of care including one respite resident (a younger person), one funded under a mental health contract and nine permanent residents funded under a ministry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business plan has been developed with specific goals around reducing skin tears, urinary tract infection, pressure injuries and medication errors.  The plan identified the purpose, values, scope and direction of Lester Heights.  The plan also includes specific goals to ensure the needs of younger people in the service are met.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has received ongoing mentoring and professional development related to managing an aged care facility since the last audit, from the quality/clinical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Lester heights has an established quality and risk programme.  A complete new set of policies and procedures (and clinical documentation) have been developed by the quality/clinical consultant.  These include a number of policies specific to younger people residing in an aged residential care environment and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(three caregivers, one lead registered nurse, one cook, and one activities person and two RN CAPs students)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monthly staff/quality meetings, quarterly service reviews of quality goals, and monthly RN meetings.  Meetings minutes sighted evidenced there is discussion around quality data including complaints, compliments, health and safety, accident/incident, infection control, internal audits and survey results.  The staff interviewed were aware of quality data results, trends and corrective actions.  Registered nurse meetings also document review of clinical issues, resident care and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that covers all aspects of the service and aligns with the requirements of the Health and Disability Services (Safety) Act 2001.  Audit outcomes are tabled and discussed at the monthly staff/quality meetings.  There is evidence of audit follow-up, action plans and sign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A senior caregiver leads health and safety.  Education, internal audits and non-clinical accident/incident investigation are included as part of the clinical manager and assistant managers role.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resident/family survey is undertaken, and issues raised have been followed up.  This includes increasing housekeeper hours, management of maintenance issues, resident outings and afternoon high teas.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robust incident and accident follow-up; this has included medication errors investigated in association with the pharmacy, with pharmacy signing off that all issues had been rectified.  Staff/quality meetings also document that each incident is discussed with staff as well as follow-up.  Each month the clinical manager reviews all incidents on the log and reviews each incident to ensure that care plans are updated, and any issues rectified.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 service has reported two missing resident reports and three pressure injuries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support recruitment practices.  The register of RNs practising certificates and allied health professionals is current.  Five staff files were reviewed (one RN, three caregivers and one cook).  All files contained relevant employment documentation including current performance appraisals and completed orientations.  The service has an orientation programme in place that provides new staff with relevant information for safe work practice in the provision of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planner in place that covers compulsory education requirements.  The planner and individual attendance records are updated after each session.  The programme included training, following issues raised though audit, incidents or for new admissions.  This has included caring for a deaf resident, shingles management, and additional medication training following medication errors.  Staff received comprehensive training around meeting the varied needs of younger people living in an aged residential care environment in July 2017 and this is planned to be repeated.</w:t>
            </w:r>
          </w:p>
          <w:p w:rsidR="00EB7645" w:rsidRPr="00BE00C7" w:rsidP="00BE00C7">
            <w:pPr>
              <w:pStyle w:val="OutcomeDescription"/>
              <w:spacing w:before="120" w:after="120"/>
              <w:rPr>
                <w:rFonts w:cs="Arial"/>
                <w:b w:val="0"/>
                <w:lang w:eastAsia="en-NZ"/>
              </w:rPr>
            </w:pPr>
            <w:r w:rsidRPr="00BE00C7">
              <w:rPr>
                <w:rFonts w:cs="Arial"/>
                <w:b w:val="0"/>
                <w:lang w:eastAsia="en-NZ"/>
              </w:rPr>
              <w:t>Three of six RNs have completed their interRAI training.  Clinical staff complete competencies relevant to their role.  The RNs and clinical manager have completed syringe driver training and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continues to align with contractual requirements and includes skill mixes.  </w:t>
            </w:r>
          </w:p>
          <w:p w:rsidR="00EB7645" w:rsidRPr="00BE00C7" w:rsidP="00BE00C7">
            <w:pPr>
              <w:pStyle w:val="OutcomeDescription"/>
              <w:spacing w:before="120" w:after="120"/>
              <w:rPr>
                <w:rFonts w:cs="Arial"/>
                <w:b w:val="0"/>
                <w:lang w:eastAsia="en-NZ"/>
              </w:rPr>
            </w:pPr>
            <w:r w:rsidRPr="00BE00C7">
              <w:rPr>
                <w:rFonts w:cs="Arial"/>
                <w:b w:val="0"/>
                <w:lang w:eastAsia="en-NZ"/>
              </w:rPr>
              <w:t>One RN is on duty 24 hours a day, seven days a week.  This includes either the clinical manager or the registered nurse lead on morning shift.  The clinical manager has three days and the registered nurse lead has two days when they are not on the floor and undertake quality activities.</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 roster is as follows: for 26 residents (6 rest home, 20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shift: One healthcare assistant full shift, one 07.00 am to 1.00 pm, and one 07.00 am to 10.00 am (this shift can be made longer depending on need). </w:t>
            </w:r>
          </w:p>
          <w:p w:rsidR="00EB7645" w:rsidRPr="00BE00C7" w:rsidP="00BE00C7">
            <w:pPr>
              <w:pStyle w:val="OutcomeDescription"/>
              <w:spacing w:before="120" w:after="120"/>
              <w:rPr>
                <w:rFonts w:cs="Arial"/>
                <w:b w:val="0"/>
                <w:lang w:eastAsia="en-NZ"/>
              </w:rPr>
            </w:pPr>
            <w:r w:rsidRPr="00BE00C7">
              <w:rPr>
                <w:rFonts w:cs="Arial"/>
                <w:b w:val="0"/>
                <w:lang w:eastAsia="en-NZ"/>
              </w:rPr>
              <w:t>PM shift:  One healthcare assistant full shift, two 3.00 pm to 6.00 pm and one 3.00 pm to 9.00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staff,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electronic medication orders with photo identification and allergy status documented.  The service uses a four-weekly roll pack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this is an improvement from the previous audit.  Nine electronic medication charts reviewed identified that the GP had seen the resident three-monthly and the medication chart was signed each time a medicine was administered by staff.  The respite resident had a paper-based prescription chart.  A registered nurse was observed administering medications and followed correct procedures.  One resident self-administers eye drops and had current competency assessments around this.  They have access to secure storage in their rooms.  Staff check each shift that these residents have safely self-administered their medications and record this on the medication administration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Lester Heights are prepared and cooked on-site by a qualified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attended food safety and hygiene training.  The service accommodates cultural food preferences for Māori with Māori dishes provided on the menu.  The service caters for other cultures upon request.  The cook interviewed was knowledgeable about resident dietary requirements and receives a resident dietary profile and any likes or dislikes.  Special diets including modified foods are provided, including morning tea (cakes are moistened and mashed for instance for residents needing a soft/puree diet).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dietitian review of the menu (May 2017).  The food control plan was verified June 2018.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and drinks at lunchtime.  A smaller dining room/lounge is used to maintain the dignity of residents requiring additional assistance.  Special equipment is available and was observed in use.</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end-cooked temperatures (sighted) are monitored daily.  A kitchen cleaning schedule is in place and implemented.  The kitchen was observed to be clean and there was a food rotation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safely within the kitchen.  The manager and assistant manager have access to the bulk food store.  And all food stuff was stored appropriately.  The manager and cook confirmed that all meals are cooked using fresh ingredients as much as possible with the cook providing a shopping list for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provides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improved with a new freezer and improved food storage.  Food stocks have been increased to ensure there is always two weeks meals available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however all interventions were not documented on the care plan and/or documented as implemented.  The staff interviewed stated that they have sufficient equipment and supplies to provide care.  The owner has improved access to equipment by allowing the clinical manager to order some equipment as needed.</w:t>
            </w:r>
          </w:p>
          <w:p w:rsidR="00EB7645" w:rsidRPr="00BE00C7" w:rsidP="00BE00C7">
            <w:pPr>
              <w:pStyle w:val="OutcomeDescription"/>
              <w:spacing w:before="120" w:after="120"/>
              <w:rPr>
                <w:rFonts w:cs="Arial"/>
                <w:b w:val="0"/>
                <w:lang w:eastAsia="en-NZ"/>
              </w:rPr>
            </w:pPr>
            <w:r w:rsidRPr="00BE00C7">
              <w:rPr>
                <w:rFonts w:cs="Arial"/>
                <w:b w:val="0"/>
                <w:lang w:eastAsia="en-NZ"/>
              </w:rPr>
              <w:t>The respite resident had an age appropriate care plan in place that lacked activities (1.3.7.2).  One rest home resident funded through mental health services for older people included mental health input to care and a documented routine for smoking and management of behaviours that challenge.  Weight loss was managed well in the care plan and the cook was able to explain how they manage additional snacks and meals, but weights had not always been documented as per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residents with wounds at the time of the audit.  One resident had a healing grade 2 pressure injury.  The service has wound care templates for chronic wounds and a template for more short-term wounds.  The chronic wounds included assessments, management plans and documented reviews.  Shorter term wounds lack a formal assessment process and plan of care.</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commenced at the service on day two of the audit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very recently employed a new activities person, she was previously employed by the service and frequently used to assist the departing activities staff member.  The activities person works five days a week and is being assisted in her role by the assistant manager (also an experienced staff member).</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large communal dining room/lounge; however, the activities plan consists of bowls, bingo and darts every week.  Residents, relatives and staff informed that these have been the only activities available.  The new activities person discussed new plans for a wide range of activities including activities for the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person with the lead RN interviews each newly admitted resident on or soon after admission and takes a social history.  This information is then used to develop an activity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The service hires a van to take residents out.  The last resident survey reported they wanted extra outings (planned and actioned), and some changes around afternoon tea times (time changed to slightly later as requested and communication to staff seen through the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documented evaluation of care six-monthly.  This does not always align to the interRAI process (link 1.3.3.3).  Long-term care plans are then evaluated and rewritten.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lead registered nurse interviewed, explained the communication process with the GP.  Short-term care plans were evident for most of the care and treatment of residents and had been evaluated and closed or transferred to the long-term care plan if required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December 2019.   </w:t>
            </w:r>
          </w:p>
          <w:p w:rsidR="00EB7645" w:rsidRPr="00BE00C7" w:rsidP="00BE00C7">
            <w:pPr>
              <w:pStyle w:val="OutcomeDescription"/>
              <w:spacing w:before="120" w:after="120"/>
              <w:rPr>
                <w:rFonts w:cs="Arial"/>
                <w:b w:val="0"/>
                <w:lang w:eastAsia="en-NZ"/>
              </w:rPr>
            </w:pPr>
            <w:r w:rsidRPr="00BE00C7">
              <w:rPr>
                <w:rFonts w:cs="Arial"/>
                <w:b w:val="0"/>
                <w:lang w:eastAsia="en-NZ"/>
              </w:rPr>
              <w:t>The owner is the maintenance person and ensures daily maintenance requests are addressed and a planned maintenance schedule is maintained.  There is a planned (sighted) maintenance repair list the maintenance person is working through.  There is an ongoing refurbishment/refresher of bedrooms as they become vacant.  A carpet replacement plan is in progress and there has been some landscaping of gardens.  New beds have been purchased as part of an ongoing replacement programme, security cameras have been installed.  Other improvements have included a new sanitiser.</w:t>
            </w:r>
          </w:p>
          <w:p w:rsidR="00EB7645" w:rsidRPr="00BE00C7" w:rsidP="00BE00C7">
            <w:pPr>
              <w:pStyle w:val="OutcomeDescription"/>
              <w:spacing w:before="120" w:after="120"/>
              <w:rPr>
                <w:rFonts w:cs="Arial"/>
                <w:b w:val="0"/>
                <w:lang w:eastAsia="en-NZ"/>
              </w:rPr>
            </w:pPr>
            <w:r w:rsidRPr="00BE00C7">
              <w:rPr>
                <w:rFonts w:cs="Arial"/>
                <w:b w:val="0"/>
                <w:lang w:eastAsia="en-NZ"/>
              </w:rPr>
              <w:t>Monthly inspections include call bell testing, monthly fire checks and hot water temperature monitoring.  Temperature recordings reviewed were between 43-45 degrees Celsius.  Essential contractors are available 24-hours.  Electrical test and tag checks on all facility and resident electrical equipment had been completed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calibration and functional checks of medical equipment is completed by an external contractor.  The facility has wide corridors with sufficient space for residents to safely mobilise using mobility aids.  There is safe access to the outdoor areas.  Seating and shade is provided.  There is a designated outdoor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HCAs interviewed stated they have sufficient equipment to safely deliver the cares as outlined in the resident care plans including hoists and pressure injury prevention equipment.  </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have rooms throughout the facility and share the same communal areas as other residents.  Those interviewed felt this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and five with enablers at the time of the audit.  One care plan for a resident with a bedrail enabler included and assessment, consent, care plan interventions, monitoring as per the care plan and three-monthly reviews of the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8"/>
        <w:gridCol w:w="1280"/>
        <w:gridCol w:w="5927"/>
        <w:gridCol w:w="2946"/>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 long-term residents all had an up-to-date interRAI assessment that linked to the care plans.  Care had been evaluated six monthly but not aligned to the same timeframe as interRAI assessments.  A new resident under the ARCC contract did not have a new interRAI within timeframes.  However, the long-term care plan had been developed within timeframes and interRAI information added later.  The service has also commenced a process to address the timeframes for new resident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first interRAI was not within timeframes for one new rest home level resident.  The LTCP had been completed prior to the first interRAI assessment.  (ii) Evaluations of care were not aligned to the interRAI for one hospital and two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Fully implement the process for interRAI timeframes and link to timeframes for new long-term care plans and evaluations of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a care plan documented that reflected the interRAI assessment.  Care needs identified through progress notes, and ongoing resident review such as special diets and wound care were not always reflected into the care plan.  Not all weights had been documented as per plan.  All residents with wounds had a wound care plan in place, but not all wounds had a formal assessment and management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did not have interventions for high falls risk.</w:t>
            </w:r>
          </w:p>
          <w:p w:rsidR="00EB7645" w:rsidRPr="00BE00C7" w:rsidP="00BE00C7">
            <w:pPr>
              <w:pStyle w:val="OutcomeDescription"/>
              <w:spacing w:before="120" w:after="120"/>
              <w:rPr>
                <w:rFonts w:cs="Arial"/>
                <w:b w:val="0"/>
                <w:lang w:eastAsia="en-NZ"/>
              </w:rPr>
            </w:pPr>
            <w:r w:rsidRPr="00BE00C7">
              <w:rPr>
                <w:rFonts w:cs="Arial"/>
                <w:b w:val="0"/>
                <w:lang w:eastAsia="en-NZ"/>
              </w:rPr>
              <w:t>(ii) –(iii).  One rest home resident did not have the need for a low sodium diet documented in the kitchen, (although the cook was aware) and two weekly weights had not always been documented as per GP instruction.</w:t>
            </w:r>
          </w:p>
          <w:p w:rsidR="00EB7645" w:rsidRPr="00BE00C7" w:rsidP="00BE00C7">
            <w:pPr>
              <w:pStyle w:val="OutcomeDescription"/>
              <w:spacing w:before="120" w:after="120"/>
              <w:rPr>
                <w:rFonts w:cs="Arial"/>
                <w:b w:val="0"/>
                <w:lang w:eastAsia="en-NZ"/>
              </w:rPr>
            </w:pPr>
            <w:r w:rsidRPr="00BE00C7">
              <w:rPr>
                <w:rFonts w:cs="Arial"/>
                <w:b w:val="0"/>
                <w:lang w:eastAsia="en-NZ"/>
              </w:rPr>
              <w:t>(iv).  Acute care plans did not have a formal holistic assessment of the wound and a management plan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plans reflected clinical needs and that all associated services have documentation regarding resident needs.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weights are documented as per instruction.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(iv).  Ensure that all wounds have a process documented that includes a formal assessment and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newly appointed activity staff member has recognised that the current activity plan for the service does not provide a range of activities for the resident group.  She has linked to an online activity group and has researched activities for the service.  An exercise programme has been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activity plan does not provide a range of activities to suit all residents including those with higher needs, and younger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an activity programme in place that provides meaningful activities for the wide range of residents at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Lester Heights Hospital Limited - Lester Heights Hospital</w:t>
    </w:r>
    <w:bookmarkEnd w:id="58"/>
    <w:r>
      <w:rPr>
        <w:rFonts w:cs="Arial"/>
        <w:sz w:val="16"/>
        <w:szCs w:val="20"/>
      </w:rPr>
      <w:tab/>
      <w:t xml:space="preserve">Date of Audit: </w:t>
    </w:r>
    <w:bookmarkStart w:id="59" w:name="AuditStartDate1"/>
    <w:r>
      <w:rPr>
        <w:rFonts w:cs="Arial"/>
        <w:sz w:val="16"/>
        <w:szCs w:val="20"/>
      </w:rPr>
      <w:t>27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