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Dementia Specialists Limited - Brooklands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Dementia Specialists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Brooklands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March 2019</w:t>
      </w:r>
      <w:bookmarkEnd w:id="7"/>
      <w:r w:rsidRPr="009418D4">
        <w:rPr>
          <w:rFonts w:cs="Arial"/>
        </w:rPr>
        <w:tab/>
        <w:t xml:space="preserve">End date: </w:t>
      </w:r>
      <w:bookmarkStart w:id="8" w:name="AuditEndDate"/>
      <w:r w:rsidR="00A4268A">
        <w:rPr>
          <w:rFonts w:cs="Arial"/>
        </w:rPr>
        <w:t>4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Reconfiguration of physical space to increase from 14 to 15 beds in the dementia wing known as Memory Lane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Dementia Specialists Limited own the Brooklands Rest Home which is known as the Brooklands Rest Home and Memory Care. Brooklands Rest Home and Memory Care provide rest home and dementia care for up to 30 residents. The service is privately operated by one owner and managed by a facility manager in conjunction with a clinical services manager.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and staff.</w:t>
      </w:r>
    </w:p>
    <w:p w:rsidRPr="00A4268A">
      <w:pPr>
        <w:spacing w:before="240" w:line="276" w:lineRule="auto"/>
        <w:rPr>
          <w:rFonts w:eastAsia="Calibri"/>
        </w:rPr>
      </w:pPr>
      <w:r w:rsidRPr="00A4268A">
        <w:rPr>
          <w:rFonts w:eastAsia="Calibri"/>
        </w:rPr>
        <w:t>This audit has identified one area requiring improvement relating to food storage. Improvements have been made to documentation of the orientation process and consistent entering of information into residents’ records, addressing those areas requiring improvement at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owner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Brooklands Rest Home and Memory Care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hard copy file.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Brooklands Rest Home and Memory Care have their needs assessed on admission and within the required timeframes. Shift handovers and handover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 lifestyle facilitator who is experienced in providing activities to rest home residents and residents with dementia.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registered nurses and home assistants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Electrical equipment is tested as required. </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Brooklands Rest Home and Memory Care undertakes aged care specific infection surveillance which is analysed and trended.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1"/>
        <w:gridCol w:w="1280"/>
        <w:gridCol w:w="104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Brooklands Rest Home and Memory Care complaints register reviewed showed that no complaints have been received so far this year and four complaints were received in 2018. The 2018 complaints had actions taken, through to an agreed resolution, were documented and completed within the required timeframes.  Action plans showed any required follow up and improvements have been made where possible. The facility manager is responsible for complaints management and follow up, in conjunction with the clinical services manager.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and Memory Care 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Managers and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reviews strategic and business plans and works closely with the managers’ onsite.  The purpose, values, scope, direction and goals of Brooklands Rest Home and Memory Care are documented within the admission pack provided to residents and their families.  The dementia care philosophy of normalisation is driven by the owner and managers and this was evident on the day of audit. The owner described annual and longer term objectives and the associated operational plans. Daily verbal and electronic reporting occurs and a sample of monthly reports to the owner showed adequate information to monitor performance is reported including financial performance, staffing and resident movements, clinical outcomes,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and Memory Care is managed by an experienced facility manager who has been in the role permanently for three years and has been working in relevant roles for 25 years. Responsibilities and accountabilities are defined in a job description and individual employment agreement.  The owner, present on the day of audit, and the facility manager confirmed knowledge of the sector, regulatory and reporting requirements and maintain currency through close relationships with relevant Taranaki District Health Board staff and professional networks.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Taranaki District Health Board for aged related residential care (ARRC) and dementia care including day-care and respite care. 29 people were receiving services under the ARRC contract at the time of audit; 14 in the rest home and 15 in the dementia service known as Memory Lane.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reconfiguration of services in response to resident need, to increase the Memory Lane beds from 14 to 15, and the movement of the secure door was deemed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and Memory Care has a planned quality and risk system that reflects the principles of continuous quality improvement. This includes management of incidents and complaints, audit activities, a regular family and resident satisfaction survey, monitoring of outcomes, clinical incidents including falls, pressure injuries, near misses, weight loss, infections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monthly management meeting, the combined staff and quality meetings and quarterly health and safety meetings. Staff reported their involvement in quality and risk management activities through incident reporting, complaint reporting, project and audit activities. Relevant corrective actions are developed and implemented to address any shortfalls. Resident and family satisfaction surveys are completed annually. The most recent survey in 2018 showed dissatisfaction in some areas. In response Brooklands Rest Home and Memory Care owner and managers developed a quality improvement action plan including each of the negative comments. A recreation activities project was developed for the activities service. Corrective actions have been completed and signed off for each of the areas identified in the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and facility manager described the processes for the identification, monitoring, review and reporting of risks and development of mitigation strategies. The owner and the manager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directly to the owner and to staff at each of the regular minuted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They advised there have been notifications of significant events made to the Ministry of Health, in the past, when water had to be boiled for two weeks as directed by Civil Defence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Brooklands Rest Home and Memory Care 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 A register of APCs is maintained for all registered health professionals providing services to residents and this is audited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six week or three-month period depending on whether the role is clinical or non-clinical.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annual basis, including mandatory training requirements. Care giving staff referred to as house assistants have either completed or commenced a New Zealand Qualification Authority education programme to meet the requirements of the provider’s agreement with the DHB. An external local person is the assessor for the programme.  Staff working in the dementia care area have completed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have been implemented to address the area of non-compliance identified at the previous audit regarding documented evidence of orientation completion by new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owner’s philosophy provides for staffing levels greater than those provided for in the MOH safe staffing guidelines. Brooklands Rest Home and Memory Care managers adjust staffing levels to meet the changing needs of residents.  An after-hours on call roster is in place, with staff reporting that good access to advice is available when needed.   House assistants reported there were adequate staff available to complete the work allocated to them.  Residents and family interviewed supported this. Observations and review of a four-week roster cycle confirmed adequate staff cover has been provided, with staff replaced in any unplanned absence.  All staff have completed dementia training and all senior house assistants and RNs have a current first aid certificate to ensure one person on each shift has their first aid training. There is 24/7 on call RN cover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 addition of one bed into Memory Lane has had little or no impact on residents as the staff levels are above the recommended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 previous corrective action has been addressed with all necessary demographic, personal, clinical and health information fully completed in a timely manner in the residents’ files sampled for review.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the CSM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 medications at the time of audit. Appropriate processes were in place to ensure this is managed in a safe manner in the rest home if required. Minimal use of ‘PRN’ (as required) antipsychotic medication in the memory care unit was sighted. Residents were observed to be alert with no displays of behaviours that challenge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was registered with the Ministry of Primary Industries (MPI) on 25 June 2018.</w:t>
            </w:r>
          </w:p>
          <w:p w:rsidR="00EB7645" w:rsidRPr="00BE00C7" w:rsidP="00BE00C7">
            <w:pPr>
              <w:pStyle w:val="OutcomeDescription"/>
              <w:spacing w:before="120" w:after="120"/>
              <w:rPr>
                <w:rFonts w:cs="Arial"/>
                <w:b w:val="0"/>
                <w:lang w:eastAsia="en-NZ"/>
              </w:rPr>
            </w:pPr>
            <w:r w:rsidRPr="00BE00C7">
              <w:rPr>
                <w:rFonts w:cs="Arial"/>
                <w:b w:val="0"/>
                <w:lang w:eastAsia="en-NZ"/>
              </w:rPr>
              <w:t>Some aspects of food storage and preparation were not compliant with guidelines and require improvement. Other aspects of food procurement, production, preparation,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memory care unit have access to food at any time. A kitchenette is available in the unit enabling staff to meet resident’s additional food requests if required.</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through resident and family interviews, satisfaction surveys and resident meeting minutes. Any areas of dissatisfaction were promptly responded to. Residents were seen to be given time to eat their meal in an unhurried fashion and those requiring assistance had this provided. There were enough staff on duty in both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at Brooklands Rest Home and Memory Care was consistent with their individualised needs, goals and the plan of care. The attention to meeting a diverse range of resident’s individualised needs was evident in all areas of service provision, including the management of behaviours that challenge. The GP and nursing records verified that medical input is sought in a timely manner and that medical orders are followed. House assistants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lifestyle facilitators. One who has wide experience in providing activities to residents in rest home care and those with memory deficits. The other lifestyle facilitator has just commenced in the role. Activities are provided in both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(life story). Activities assessments are regularly reviewed to help formulate an activity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and included a twenty-four, seven day a week approach in the memory care unit. Activities reflected residents’ goals, ordinary patterns of life and included normal community activities. Individual, group activities and regular events are offered. A closed face book page enables resident’s family’s interactive feedback into resident’s participation in activities. Examples include outings, in-house events, visiting entertainers, outings, special functions/celebrations, quiz sessions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and family members’ input is sought and responded to. Resident and family satisfaction surveys demonstrated satisfaction and that information is used to improve the range of activities offered. Residents and family members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Brooklands Rest Home and Memory Care  is evaluated on each shift and reported in the progress notes. If any change is noted, it is reported to the CSM.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CSM. Where progress is different from expected, changes to the plan of care were initiated. Short term care plans were consistently reviewed for infections, pain, and weight loss and progress evaluated as clinically indicated and according to the degree of risk noted during the assessment process. Residents with weight loss were weighed weekly and overseen every two months by a dietician. All residents with previous weight loss evidenced weight stability.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which expires on 2 August 2019 is publicly displayed in the reception area.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staff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for example, the Memory Lane gardens have access at two ends of the building to allow for meaningful walking by residents, well-tended gardens and chickens normalise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is required and that any requests are appropriately actioned. Family members and residents reported that they were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of a large bathroom and double room within Memory Lane to a smaller bathroom and two single rooms allows for appropriate accessible physical spaces for two residents which are deemed as fit for purpose.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Brooklands Rest Home and Memory Care policies and comprehensive photographic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19 June 2017.  A trial evacuation takes place six-monthly with a copy sent to the New Zealand Fire Service, the most recent being on 15 November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the 30 residents.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 night staff do security checks of the premises at night.</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reconfigurations have not resulted in the need for change to the evacuation procedure and call bells are available in all the new spaces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Brooklands Rest Home and Memory Care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officer/CSM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Staff described enablers as needing to be the least restrictive and used voluntarily at a resident’s request.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0"/>
        <w:gridCol w:w="1280"/>
        <w:gridCol w:w="8212"/>
        <w:gridCol w:w="119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control plan in place and registered with MPI in June 2018. Evidence was sighted of temperature checks of fridge, freezers, and cooked food temperatures. Records indicated temperatures recorded were within the required range.</w:t>
            </w:r>
          </w:p>
          <w:p w:rsidR="00EB7645" w:rsidRPr="00BE00C7" w:rsidP="00BE00C7">
            <w:pPr>
              <w:pStyle w:val="OutcomeDescription"/>
              <w:spacing w:before="120" w:after="120"/>
              <w:rPr>
                <w:rFonts w:cs="Arial"/>
                <w:b w:val="0"/>
                <w:lang w:eastAsia="en-NZ"/>
              </w:rPr>
            </w:pPr>
            <w:r w:rsidRPr="00BE00C7">
              <w:rPr>
                <w:rFonts w:cs="Arial"/>
                <w:b w:val="0"/>
                <w:lang w:eastAsia="en-NZ"/>
              </w:rPr>
              <w:t>A cleaning schedule was sighted, however there is no documentation to evidence when the oven was last cleaned, and the chest freezer defrosted. The cook was unable to verify when this was last attended to. The freezer is observed to have a build-up of ice, and the oven a build-up of grease. There were several dried herbs in the pantry that were past their use by dates, and these were discarded on the day of audit. Several decanted items had no use by dates recorded. A range of plastic containers storing decanted items, were sticky and had a build-up of dust on the lids. Several shelves in the pantry had chipped laminate or were made of wood. These items were pervious to spills and difficult to clean.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Several areas relating to food storage are not compliant with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food storage processes ensure safe food practices, are being maintained and comply with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Dementia Specialists Limited - Brooklands Rest Home</w:t>
    </w:r>
    <w:bookmarkEnd w:id="58"/>
    <w:r>
      <w:rPr>
        <w:rFonts w:cs="Arial"/>
        <w:sz w:val="16"/>
        <w:szCs w:val="20"/>
      </w:rPr>
      <w:tab/>
      <w:t xml:space="preserve">Date of Audit: </w:t>
    </w:r>
    <w:bookmarkStart w:id="59" w:name="AuditStartDate1"/>
    <w:r>
      <w:rPr>
        <w:rFonts w:cs="Arial"/>
        <w:sz w:val="16"/>
        <w:szCs w:val="20"/>
      </w:rPr>
      <w:t>4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