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Tranquillity Bay Care Limited - Tranquillity Bay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Tranquillity Bay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Tranquillity Bay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2019</w:t>
      </w:r>
      <w:bookmarkEnd w:id="7"/>
      <w:r w:rsidRPr="009418D4">
        <w:rPr>
          <w:rFonts w:cs="Arial"/>
        </w:rPr>
        <w:tab/>
        <w:t xml:space="preserve">End date: </w:t>
      </w:r>
      <w:bookmarkStart w:id="8" w:name="AuditEndDate"/>
      <w:r w:rsidR="00A4268A">
        <w:rPr>
          <w:rFonts w:cs="Arial"/>
        </w:rPr>
        <w:t>13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Tranquillity Bay Care provides rest home level care for up to 34 residents. This certification audit was conducted against the relevant health and disability standards and the provider’s contract with the district health board. There have been no changes to the organisation, or the facility, since the last audit.</w:t>
      </w:r>
    </w:p>
    <w:p w:rsidRPr="00A4268A">
      <w:pPr>
        <w:spacing w:before="240" w:line="276" w:lineRule="auto"/>
        <w:rPr>
          <w:rFonts w:eastAsia="Calibri"/>
        </w:rPr>
      </w:pPr>
      <w:r w:rsidRPr="00A4268A">
        <w:rPr>
          <w:rFonts w:eastAsia="Calibri"/>
        </w:rPr>
        <w:t xml:space="preserve">The audit included a review of policies and procedures, interviews with staff, residents, family members and the general practitioner. Resident and staff files were sampled. </w:t>
      </w:r>
    </w:p>
    <w:p w:rsidRPr="00A4268A">
      <w:pPr>
        <w:spacing w:before="240" w:line="276" w:lineRule="auto"/>
        <w:rPr>
          <w:rFonts w:eastAsia="Calibri"/>
        </w:rPr>
      </w:pPr>
      <w:r w:rsidRPr="00A4268A">
        <w:rPr>
          <w:rFonts w:eastAsia="Calibri"/>
        </w:rPr>
        <w:t xml:space="preserve">The organisation has achieved full compliance with all requirements.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organisation operates in a way that complies with consumer rights legislation. Residents’ privacy, independence and personal safety is protected. Care and support is provided in a manner which recognises the residents' culture, values and beliefs. </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understood by staff and maintained. Service delivery is based on good practice principles. </w:t>
      </w:r>
    </w:p>
    <w:p w:rsidRPr="00A4268A">
      <w:pPr>
        <w:spacing w:before="240" w:line="276" w:lineRule="auto"/>
        <w:rPr>
          <w:rFonts w:eastAsia="Calibri"/>
        </w:rPr>
      </w:pPr>
      <w:r w:rsidRPr="00A4268A">
        <w:rPr>
          <w:rFonts w:eastAsia="Calibri"/>
        </w:rPr>
        <w:t>Communication is open and resident choices are recorded and acted upon. The informed consent process has been maintained. Links with family/whanau and the community are encouraged and supported by the service provider.</w:t>
      </w:r>
    </w:p>
    <w:p w:rsidRPr="00A4268A">
      <w:pPr>
        <w:spacing w:before="240" w:line="276" w:lineRule="auto"/>
        <w:rPr>
          <w:rFonts w:eastAsia="Calibri"/>
        </w:rPr>
      </w:pPr>
      <w:r w:rsidRPr="00A4268A">
        <w:rPr>
          <w:rFonts w:eastAsia="Calibri"/>
        </w:rPr>
        <w:t>The complaints process meets the requirements of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directors monitor organisational performance. Management are suitably qualified. Quality activities are implemented and quality goals are defined and monitored. Data is used to improved services if required. The required policies and procedures are documented. The adverse event reporting system ensures that all events are reported and managed appropriately. A range of quality improvements have recently been developed and are now being implemented. There is an implemented risk management system. </w:t>
      </w:r>
    </w:p>
    <w:p w:rsidRPr="00A4268A">
      <w:pPr>
        <w:spacing w:before="240" w:line="276" w:lineRule="auto"/>
        <w:rPr>
          <w:rFonts w:eastAsia="Calibri"/>
        </w:rPr>
      </w:pPr>
      <w:r w:rsidRPr="00A4268A">
        <w:rPr>
          <w:rFonts w:eastAsia="Calibri"/>
        </w:rPr>
        <w:t xml:space="preserve">Human resource processes meet all requirements. Staff are orientated and trained. There are a sufficient number of suitably qualified staff on duty at all times. </w:t>
      </w:r>
    </w:p>
    <w:p w:rsidRPr="00A4268A">
      <w:pPr>
        <w:spacing w:before="240" w:line="276" w:lineRule="auto"/>
        <w:rPr>
          <w:rFonts w:eastAsia="Calibri"/>
        </w:rPr>
      </w:pPr>
      <w:r w:rsidRPr="00A4268A">
        <w:rPr>
          <w:rFonts w:eastAsia="Calibri"/>
        </w:rPr>
        <w:t xml:space="preserve">Resident records are well maintained and meet all the requirements of this standard.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conducted upon admission. The clinical manager and registered nurses are responsible for care plan development with input from the residents, staff and family member representatives. Residents, family/whanau and staff interviewed confirmed that the care plans were consistent with meeting residents identified needs.</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expressed satisfaction with the activities programme in place. </w:t>
      </w:r>
    </w:p>
    <w:p w:rsidRPr="00A4268A" w:rsidP="00621629">
      <w:pPr>
        <w:spacing w:before="240" w:line="276" w:lineRule="auto"/>
        <w:rPr>
          <w:rFonts w:eastAsia="Calibri"/>
        </w:rPr>
      </w:pPr>
      <w:r w:rsidRPr="00A4268A">
        <w:rPr>
          <w:rFonts w:eastAsia="Calibri"/>
        </w:rPr>
        <w:t xml:space="preserve">Medicines are managed and administered in line with current legislations and regulations. All medications are reviewed by the general practitioner (GP) according to policy.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well maintained and meets the needs of the residents. The required building and emergency requirements have been maintained. Emergency equipment is available and emergency procedures are documented.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At the time of the audit there were no residents requiring a restraint or enabler. There are documented procedures in the event a restraint or enabler are required. All staff have received training regarding the minimisation of restraints and the management of behaviours of concern.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10"/>
        <w:gridCol w:w="1280"/>
        <w:gridCol w:w="86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knowledge of the Code of Health and Disability Services Consumers` Rights (the Code). The Code is included in staff orientation and in the staff training education programmes. On the days of the audit, staff demonstrated knowledge of the Code when interacting with residents. The residents and family/whanau reported that staff respect their rights and incorporate them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The CM reported that informed consent is discussed and recorded at the time the resident is admitted to the facility. The policy references Rights 5, 6 and 7 of the Code and the process for determining competency and advanced directives. The residents' files sampled had the required consent forms signed by the resident, or where appropriate, signed by the enduring power of attorney (EPOA). The files contained copies of any advance care planning and the residents’ wishes for end of life care. Staff acknowledged the residents’ right to make choices based on information presented to them. Residents interviewed confirmed that they were provided with day to day choices and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 / support is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complies with consumer rights legislation. All residents are provided with information regarding the complaints process, and advocacy services, on entry. Information regarding the complaints process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Records of resident complaints were sampled. There have been three documented complaints since the last audit. Records sampled confirmed that the complaints were taken seriously and resolved to the satisfaction of the complainant.  The complaints were fully investigated, documented and corrective action developed as required. The complaints register has been maintained. Complaints are fully discussed at quality meetings. This was confirmed in meeting minutes sampled. The managing director confirmed that there have been no complaints made to external authorities.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have had the complaints procedure explained to them and they know how to make a complaint if required.  Staff are aware of their responsibility to record and report any resident or family complaint they may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about the Code, advocacy services and the complaints process are provided to the residents on admission and displayed at the facility. The clinical manager (CM) reported that advocacy services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were aware of their rights and confirmed that information was provided to them during the admission process. The information pack was sighted and outlines the services offered. Signed residents’ agreements were sighted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respects the physical, visual, auditory, and personal privacy of residents and their belongings at all times. The process for accessing personal health information is detailed and the care planning process identifies and records interventions for respecting resident’s individual beliefs and values. The majority of rooms are single occupancy, with one couple currently sharing a double room. Personal property is maintained in a secure manner. Policies and procedures on abuse and neglect include definitions and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Maori health plan and individual values and beliefs policy which include cultural safety and awareness. Terminal care and death of the Maori resident is included. Cultural needs are included in the care plans (if identified). There were residents who identified as Maori and stated that their cultural needs were met. There is access to cultural advice, resources and documented procedures to ensure recognition of Maori values and beliefs. The organisation maintains contact with local Iwi. Cultural safety training is provided to all staff. The Code is available in Maori and satisfaction surveys include cultural and spiritual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management plan is developed to ensure that care and services are delivered in a culturally and/or spiritually sensitive manner in accordance with the Treaty of Waitangi and/or other protocols/guidelines as recognised by the resident. Values and beliefs are discussed and incorporated into the care plan.  Residents and family members interviewed confirmed they are encouraged to be involved in the development of the long-term care plan. At the time of the audit, there was one resident who had a cultural care plan. This was well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define processes for providing an environment that is free from discrimination, coercion, harassment, sexual, financial or other exploitation. The staff code of conduct and professional behaviour is included in the employment and orientation process. Staff receive information and education regarding non-discriminatory attitudes and behaviours.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observation during the audit, indicated that residents are free of any form of coercion or discrimination. In interview, the general practitioner (GP) confirmed the provision of consistent and respectful care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Management representatives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staff receive a wide range of opportunities which promote good practice within the facility. Staff reported that they were satisfied with the relevance of the education provided and were able to explain how they maintain good practice. Policies and procedures are linked to evidence-based practice. There are regular visits by the GP and allied health providers as required. The CM and RN are available and accessible to care staff for clinical support and advice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and procedure in place. Staff interviewed evidenced their knowledge around open disclosure. The service has required access to interpreting services for the residents. Policies and procedures are in place if the interpreter services are needed to be accessed. Documenting of open disclosure following incidents/accidents was evident. Family/whanau reported they are informed of any events or concerns. Records of family contact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owned and operated by Tranquillity Bay Care Limited. There are two directors, one of which is the managing director and the other is the general manager. Both directors have been working in aged care industry for many years and maintain current knowledge of the industry.  Day to day management is the responsibility of the managing director who is on site Monday to Friday. The directors are supported by a clinical manager who has over six years’ experience in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direction for the organisation is documented. The annual business plan for 2019 identifies key goals for the organisation. The mission statement has recently been reviewed. Organisational performance is monitored. A relatively new governance reporting process has been established which enables the directors to monitor achievement towards key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33 residents. Two residents were funded under a mental health contract and 10 residents were paying privately. There were three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event of a temporary absence of the directors, management duties are divided between the office manager and the clinical manager. Both have the required relevant experience to perform the role of management over a short period of time, and have previously done so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The required policies and procedures are documented. A full review of policies and procedures was conducted by the lead auditor prior to the onsite audit. Policies are linked to the Health and Disability Sector Standards, current and applicable legislation and guidelines and evidenced-based practice.  Policies are available to staff in hard copy.  All policies are subject to regular reviews. Clinical policies and procedures are reviewed by the clinical manager. There is a document control process. Obsolete documents are removed from circulation.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quality related activities are implemented. Services are monitored through complaints and resident feedback, satisfaction surveys, review of adverse events, surveillance of infections, health and safety reports and implementation of an internal audit programme. Corrective action plans are documented when required, with evidence of closure. A quality indicator data form summarizes quality data monthly including identification of any trends. Records of meeting minutes sampled confirmed that quality data is discussed and communicated throughout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quality improvement process has been developed since the last audit. A number of quality improvement projects have been implemented. Records of recently developed improvements confirmed early evidence of continuous improvements in systems and clinical practice.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risk management programme is in place.  The risk management programme covers the scope of the organisation with risk levels and mitigation strategies documented. Health and safety policies and procedures are documented along with a hazard management programme. Health and safety inspections are included in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managing adverse events is documented and communicated to staff.  Records of adverse events sampled confirmed appropriate immediate actions, full investigation and timely closure. Adverse event reports had a corresponding note in the progress notes to inform staff and demonstrated that family were notified where required. The managing director is aware of situations in which the organisation would need to report and notify statutory authorities.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categorised and collated with any trends identified. Discussions regarding the results of investigations are documented in the quality/health and safety team meeting minutes. Records sampled confirmed discussions regarding prevention of reoccurrence and near misses.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sampled confirmed the validation of qualifications. This included copies of annual practicing certificates for the registered nurses, evidence of first aid certificates, food safety training and certificates of health and wellbeing training for health care assistants. Records of orientation, employment contracts, position descriptions, reference checks, police vetting and performance appraisals were also sighted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until they demonstrate competency. The orientation programme covers the essential components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staff training is conducted against the annual training plan. Training is delivered by the clinical manager and a range of external providers. All training resources provided include a quiz from which the clinical manager can assess understanding. Mandatory competencies are defined. This includes medication management and handwashing. Evidence of the completed competencies are kept on staff files. The registered nurses have access to clinical training provided by the district health board. The clinical manager and registered nurse have both completed interRAI training. An individual record of staff attendance at training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have been made to the performance review process including a system to ensure reviews are up to date and completed annually. The administrator also maintains a staff data base which is utilised to monitor that all staff requirements have been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rational.  The rational is developed in line with district health board contract requirements. The managing director reports that staffing levels are reviewed for anticipated workloads, identified numbers and appropriate skill mix, or as required due to changes in resident acuity and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site for 13 days over a fortnight. When not onsite, the registered nurses share on call duty. There are three health care assistants rostered on the morning shift; three in the afternoon and two overnight. There are designated staff for activities, maintenance and cleaning/laundry. The activities staff are also on site 13 days over a fortnight. The availability of a registered nurse and activity staff member for 13 days over the fortnight ensures ongoing support for the weekend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prepared four weeks in advance. Rosters sampled confirmed a sufficient number of staff over the 24-hour period, seven days per week. There is evidence that staff members are replaced in the event of an unplanned absence. Residents and family members interviewed confirmed that they have timely access to staff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Accurate residents’ records are maintained. Resident records are maintained in hard copy and securely stored in the nurse’s station. A record of past residents is also maintained.  Resident records are integrated with entries from allied health providers included in the resident folder. Entries are made in resident progress notes daily, with additional entries made if an event occurs.  Additional records also include daily checklists which are used by the health care assistants for documenting daily interventions. </w:t>
            </w:r>
          </w:p>
          <w:p w:rsidR="00EB7645" w:rsidRPr="00BE00C7" w:rsidP="00BE00C7">
            <w:pPr>
              <w:pStyle w:val="OutcomeDescription"/>
              <w:spacing w:before="120" w:after="120"/>
              <w:rPr>
                <w:rFonts w:cs="Arial"/>
                <w:b w:val="0"/>
                <w:lang w:eastAsia="en-NZ"/>
              </w:rPr>
            </w:pPr>
            <w:r w:rsidRPr="00BE00C7">
              <w:rPr>
                <w:rFonts w:cs="Arial"/>
                <w:b w:val="0"/>
                <w:lang w:eastAsia="en-NZ"/>
              </w:rPr>
              <w:t>All records sampled included the name and designation of the writer with the name of the resident on each page. Records were legible. A specimen signature list is included in each resident file. Archived records are stored on site in a dry and secure location. There is a system for tracking archived records should they need to be retrieved.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welcome pack contains all the information about entry to the service. All enquiries are recorded on the pre-enquiry form.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all entry requirements were conducted within the required time frames. Family/Whanau and residents interviewed confirmed that they received adequate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district health board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safe, secure and timely manner. Medication charts sampled complied with legislation, protocols and guidelines. Medications are stored in a safe and secure way in the treatment rooms and locked cupboards. Medication reconciliation is conducted by the CM and RN when the resident is transferred back to service. The service uses a pre-packed medication management system. All medicines are reviewed every three months and as required by the GP. Allergies are clearly indicated and resident photos are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 and medication training records were sighted. The RN was observed administering medicines correctly. The controlled drug register is current and correct. Weekly and six-monthly stock takes are conducted and all medications are stored appropriately. As when necessary medicines are documented and administered after consultations with on call clinical team. Outcomes are documented detailing either effectiveness or non-effectiveness of administered medication.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who were residents self-administering medication at the time of the audit had been assessed as competent. Medicines were kept in a secure way in locked cupboards and records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fluid, and nutritional needs of residents are provided in line with recognised nutritional guidelines appropriate to the resident group. Meal services are prepared on site and served in the respective dining areas. The menu has been reviewed by a dietitian. The kitchen staff have current food handling certificates. Diets are modified as required and the cook confirmed awareness on dietary needs of the residents. The residents have a nutritional profile developed on admission which identifies dietary requirements, likes and dislikes.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 The food service was registered under the new food control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all consumers who are declined entry are recorded on the pre-enquiry form. When a consumer is declined entry, family/whanau are informed of the reason for this and made aware of other options or alternative services available.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residents are admitted with a completed needs assessment and coordination services form. The initial assessments are completed within the required time frame on admission while care plans and interRAI assessments are completed within three weeks according to policy. Assessments and care plans are detailed and include input from the family/whanau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 Care plans are resident focussed, integrated and provide continuity of service delivery.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assessed needs and desired goals/outcomes. Significant changes are reported in a timely manner and prescribed orders carried out satisfactorily as confirmed also by the GP in the interview conducted.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meaningful to the residents. Activities are conducted by the diversional therapist and activities coordinator. The activities programme covers physical, social, recreational, emotional and cultural needs of the residents and caters for all residents including those under 65 years of age. The activities staff reported that they modify activities based on the resident’s response and interests and also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with a number of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Residents and family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waste and hazardous substances is documented in policy and meets legislation and local authority requirements. Domestic waste is placed in a skip and removed twice per week. Continence products are bagged appropriately.  Hazardous substances are identified on the hazard register and stored appropriately. Chemicals are stored securely. The oxygen cylinder is secure. Sharps containers are on the medication trolley and in the nurse’s station. Observations confirmed that there are adequate supplies of personal protective equipment placed throughout the facility. Staff orientation and ongoing training includes the management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semi-rural, large and divided into three main areas. The Seaview wing and Manaia wing are connected by an enclosed corridor. The Manaia wing is two story with stairs and a lift. Residents living in the Manaia wing have been assessed as having a greater degree of independence. There are large grounds and gardens for the residents to access. Outside areas are safe and accessible. There is a current building warrant of fitness and a planned maintenance schedule. Records of planned, and ongoing maintenance requirements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compliance and calibration have been maintained. Medical equipment is calibrated as required. There is a test and tag programme in place for electrical equipment.  Hazards are identified and monitored through the health and safety programme. Building and environmental audits are included in the routine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combination of communal, shared and private ensuites. Communal bathrooms are identified. Toilet facilities are located throughout the facility and are in close proximately to residents’ rooms and communal areas. All resident rooms have a hand basin. Visitor facilities are available and identifiable. Hot water temperatures are monitored to ensure that hot water is provided at a consistently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currently one double room which is shared by a couple. The rest of the bedrooms are single occupancy. There is sufficient space in all bedrooms to accommodate personal possessions and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Seaview wing and Manaia wing have adequate communal areas to accommodate residents, activities and dining. The Seaview wing has a separate dining room adjoining the lounge. The Manaia wing has the lounge and dining room combined. There are also additional lounging areas throughout the facility where residents can remove themselves from the main lounge area if they wish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cleaning and laundry services. All laundry is laundered on site. The laundry has sufficient equipment and clearly identifies clean and dirty areas. The cleaner’s trolley is stored in the laundry. Material data safety sheets are displayed. There is a closed-circuit chemical dispensing system. Additional chemicals are securely stored. Staff involved in laundry and cleaning processes have received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resident satisfaction process and internal audits. Internal audits and resident meeting minutes sample confirmed general satisfaction with all cleaning and laundry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which has recently been reviewed by a fire consultant to determine that the required safety requirements are in place. Trial evacuation drills are conducted every six months. Staff attendance at trial evacuation drills is monitored.  The facility is separated into fire cells for a staged evacuation. The required fire emergency equipment is located throughout the building. All staff receive training in emergency and evacuation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emergency supplies. Civil defence and pandemic equipment is stored and readily accessible. There is back up water and food supplies. There are current first aid kits. Alternative energy sources include gas cooking facilities and emergency lighting. All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 Security checks are completed each evening. There is a CCTV camera at the front door and entrance to the facility. There are security lights located on the outside of the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has been maintained. Staff carry a pager which identifies the location of activated call bells. Random checks on the call bell system are routinely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adequate heating and ventilation. Communal areas in both wings have a wood burner and oil heaters in each of the resident’s rooms. Fans are strategically located around the facility during the warmer weather. All rooms have windows which enable plenty of natural light. There is a designated place, away from the buildings, for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an environment that minimises the risk of infection to residents, staff and visitors by implementing an appropriate infection prevention and control programme. The clinical manager is the infection control coordinator (ICC)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residents.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There is a job description for the position of the restraint coordinator this is the clinical manager.  The service has no restraints and no enablers in use on audit day. Restraint and challenging behaviour training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Tranquillity Bay Care Limited - Tranquillity Bay care</w:t>
    </w:r>
    <w:bookmarkEnd w:id="58"/>
    <w:r>
      <w:rPr>
        <w:rFonts w:cs="Arial"/>
        <w:sz w:val="16"/>
        <w:szCs w:val="20"/>
      </w:rPr>
      <w:tab/>
      <w:t xml:space="preserve">Date of Audit: </w:t>
    </w:r>
    <w:bookmarkStart w:id="59" w:name="AuditStartDate1"/>
    <w:r>
      <w:rPr>
        <w:rFonts w:cs="Arial"/>
        <w:sz w:val="16"/>
        <w:szCs w:val="20"/>
      </w:rPr>
      <w:t>12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