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Eversley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Eversley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2019</w:t>
      </w:r>
      <w:bookmarkEnd w:id="7"/>
      <w:r w:rsidRPr="009418D4">
        <w:rPr>
          <w:rFonts w:cs="Arial"/>
        </w:rPr>
        <w:tab/>
        <w:t xml:space="preserve">End date: </w:t>
      </w:r>
      <w:bookmarkStart w:id="8" w:name="AuditEndDate"/>
      <w:r w:rsidR="00A4268A">
        <w:rPr>
          <w:rFonts w:cs="Arial"/>
        </w:rPr>
        <w:t>20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Eversley Rest Home and Village is part of Oceania Healthcare Limited. The facility is certified to provide services for up to 50 residents requiring rest home and dementia level of care. There were 46 residents at the facility on the first day of the audit.</w:t>
      </w:r>
    </w:p>
    <w:p w:rsidRPr="00A4268A">
      <w:pPr>
        <w:spacing w:before="240" w:line="276" w:lineRule="auto"/>
        <w:rPr>
          <w:rFonts w:eastAsia="Calibri"/>
        </w:rPr>
      </w:pPr>
      <w:r w:rsidRPr="00A4268A">
        <w:rPr>
          <w:rFonts w:eastAsia="Calibri"/>
        </w:rPr>
        <w:t>This certification audit was conducted against the Health and Disability Service Standards and the facility’s contract with the district health board. The audit process included the review of policies and procedures, review of resident and staff files, and observations and interviews with residents and family, management, staff, and a general practitioner.</w:t>
      </w:r>
    </w:p>
    <w:p w:rsidRPr="00A4268A">
      <w:pPr>
        <w:spacing w:before="240" w:line="276" w:lineRule="auto"/>
        <w:rPr>
          <w:rFonts w:eastAsia="Calibri"/>
        </w:rPr>
      </w:pPr>
      <w:r w:rsidRPr="00A4268A">
        <w:rPr>
          <w:rFonts w:eastAsia="Calibri"/>
        </w:rPr>
        <w:t>There are six areas identified at this audit as requiring improvement. These relate to service delivery timeframes; initial care plans; care plan evaluations; short-term care plans; review of the infection control programme and infection control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demonstrated an understanding of residents' rights and obligations. Residents and family members confirmed their rights are being met.</w:t>
      </w:r>
    </w:p>
    <w:p w:rsidRPr="00A4268A">
      <w:pPr>
        <w:spacing w:before="240" w:line="276" w:lineRule="auto"/>
        <w:rPr>
          <w:rFonts w:eastAsia="Calibri"/>
        </w:rPr>
      </w:pPr>
      <w:r w:rsidRPr="00A4268A">
        <w:rPr>
          <w:rFonts w:eastAsia="Calibri"/>
        </w:rPr>
        <w:t xml:space="preserve">Residents’ cultural and spiritual beliefs are identified as part of the assessment process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 Residents, family and general practitioner interviews confirmed that the environment is conducive to communication, issues are identified where applicable, and that staff are respectful of residents’ needs.</w:t>
      </w:r>
    </w:p>
    <w:p w:rsidRPr="00A4268A">
      <w:pPr>
        <w:spacing w:before="240" w:line="276" w:lineRule="auto"/>
        <w:rPr>
          <w:rFonts w:eastAsia="Calibri"/>
        </w:rPr>
      </w:pPr>
      <w:r w:rsidRPr="00A4268A">
        <w:rPr>
          <w:rFonts w:eastAsia="Calibri"/>
        </w:rPr>
        <w:t>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Facility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The business and care manager provide operational oversight of the service. The clinical manager is a registered nurse, responsible for clinical management and oversight of services and is supported by the regional clinical quality manager.</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based on best practice for determining staffing levels and skill mix in order to provide safe service delivery.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clinical records evidenced that residents have been assessed as requiring either rest home or dementia level of care prior to their admission to this facility. InterRAI assessments, other risk assessments, care plans, and evaluations are completed by registered nurses. Interviews confirmed residents and their families are informed and involved in care planning and the evaluation of care. Handovers, diaries, medical and allied health notes guide continuity of care. </w:t>
      </w:r>
    </w:p>
    <w:p w:rsidRPr="00A4268A" w:rsidP="00621629">
      <w:pPr>
        <w:spacing w:before="240" w:line="276" w:lineRule="auto"/>
        <w:rPr>
          <w:rFonts w:eastAsia="Calibri"/>
        </w:rPr>
      </w:pPr>
      <w:r w:rsidRPr="00A4268A">
        <w:rPr>
          <w:rFonts w:eastAsia="Calibri"/>
        </w:rPr>
        <w:t>The activities programme provides residents with a variety of individual and group activities. Community outings are arranged. Entertainers and community groups are invited to participate in the programme.</w:t>
      </w:r>
    </w:p>
    <w:p w:rsidRPr="00A4268A" w:rsidP="00621629">
      <w:pPr>
        <w:spacing w:before="240" w:line="276" w:lineRule="auto"/>
        <w:rPr>
          <w:rFonts w:eastAsia="Calibri"/>
        </w:rPr>
      </w:pPr>
      <w:r w:rsidRPr="00A4268A">
        <w:rPr>
          <w:rFonts w:eastAsia="Calibri"/>
        </w:rPr>
        <w:t>Medicines are managed according to legislation and guidelines and are implemented using a computerised system. Staff responsible for medication management have attended annual education and completed annual medication competencies.</w:t>
      </w:r>
    </w:p>
    <w:p w:rsidRPr="00A4268A" w:rsidP="00621629">
      <w:pPr>
        <w:spacing w:before="240" w:line="276" w:lineRule="auto"/>
        <w:rPr>
          <w:rFonts w:eastAsia="Calibri"/>
        </w:rPr>
      </w:pPr>
      <w:r w:rsidRPr="00A4268A">
        <w:rPr>
          <w:rFonts w:eastAsia="Calibri"/>
        </w:rPr>
        <w:t>All food is cooked on site. Nutritional needs of residents are assessed on admission and additional requirements and/or modified needs are met. The menu is reviewed by a dietitian at organisational level. Residents interviewed confirmed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approved fire evacuation plan. Essential security systems are in place to ensure resident safety. Six monthly trial evacuations are undertaken.</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for the safe use and manoeuvring of mobility aids.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and waste management. Cleaning services, provided seven days a week by household staff, are monitored. Laundry services are provided offsite.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Oceania Healthcare Limited policies and procedures on restraint and enabler use are current and reference best practice and legislation. The facility is restraint free. Staff receive training including the required aspects of restraint and enabler use, alternatives to restraint and dealing with challenging behaviours.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staff. The infection control nurse is responsible for the infection prevention and control at the facility, with support from management and staff. Infection control education is provided to staff at orientation and at ongoing education study days.</w:t>
      </w:r>
    </w:p>
    <w:p w:rsidRPr="00A4268A">
      <w:pPr>
        <w:spacing w:before="240" w:line="276" w:lineRule="auto"/>
        <w:rPr>
          <w:rFonts w:eastAsia="Calibri"/>
        </w:rPr>
      </w:pPr>
      <w:r w:rsidRPr="00A4268A">
        <w:rPr>
          <w:rFonts w:eastAsia="Calibri"/>
        </w:rPr>
        <w:t>Infection data is collated monthly, analysed and reported at facility meetings and to the Oceania Healthcare Limited support office.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4"/>
        <w:gridCol w:w="1280"/>
        <w:gridCol w:w="91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annual education programme. Staff interviews confirmed their understanding of the Code and their obligations. Evidence that the Code is implemented in their everyday practice includes but is not limited to: maintaining residents' privacy; providing residents with choices for example, preferred shower times, food, clothing and activities; encouraging independence; involving residents and family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and observation confirmed that services are provided in a manner that upholds resident dignity and maintains their privacy. Observation and resident interviews confirmed that staff are respectful towards residents and their families. Resident interviews confirmed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informed consent policy provides the guidelines for staff. It ensures that all residents or their family are informed about the management and care to be provided. This is to ensure that they may arrive at a reasoned and non-pressured decision about any proposed treatment or procedure. It describes what consent involves and how it may be facilitated, obtained, refused and withdrawn. Cultural considerations are identified such as the involvement of the wider whānau and allowing time for decision making. It ensures that staff members adhere to the legal and ethical requirements of informed consent and informed choice for health care services and service provision. The policy includes guidelines for consent for treatment, photographs, specific cares, collection and storage of information, and advance directives.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regarding informed consent is included in the information pack provided on admission. The BCM discusses this with residents and their families during the admission process to ensure understanding. 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and resuscitation orders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provides guidance for staff to ensure that residents and their families have a right to be represented and express views or concerns about their situation. It includes making them aware of the availability of advocacy services and support access to advocacy services. Information regarding the availability of the Nationwide Health and Disability Advocacy Service is included in the information packs provided to residents and family on admission to the facility. Additional advocacy services brochures are also available at the facility reception.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 confirmed that advocacy services can also be accessed on behalf of residents externally through the Nationwide Health and Disability Advocacy Service if required. Resident and family interviews confirmed awareness of the availability of advocacy.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the facility provides opportunities for the family to be involved in decision making, they are aware of the right to advocacy and the advocacy service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and staff interviews confirmed that residents may have access to visitors of their choice at any time. There are areas where a resident and family can meet in private. Observations and resident and family interviews confirmed that families are made to feel welcome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residents are able to maintain existing community involvement with family and social networks. Resident interviews confirmed that residents are free to leave the facility when they so choose, for example, to walk or sit in the adjacent park; be involved in local social activities and family outings. The activities programme and the content of care plans include regular outings in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outlines the complaints procedure that is in line with the Code and includes the expected timeframes for responding to a complaint. The complaint process and forms are made available as part of the admission pack. The complaint forms are also available at the entrance to the facility along with a post box to submit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responsible for managing complaints. An up-to-date complaints register is in place that includes: the date the complaint is received; the source of the complaint; a description of the complaint; resolution and the date the complaint is signed off. Evidence relating to each lodged complaint is held in the complaints folder and register. Complaints reviewed and BCM interview indicated that complaints are investigated promptly and issues are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that residents and family are encouraged to raise any concerns and provide feedback on services. Residents and family interviews confirmed that they are aware of the complaints process. Residents and family stated that they could raise any issues directly with management and that these are dealt with effectively and efficiently.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business care manager (BCM) also explains the Code to ensure understanding during the admission process. The pack includes information on the complaints process and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is also displayed in posters in English and te reo Māori at the entrance to the facility. The Code and associated information are also available in information brochures which are displayed at the reception in the facility and available to take away and read in private.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and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staff and family interviews and observation confirmed that staff knock on doors prior to entering rooms, ensure doors were shut when personal cares were being provided and residents were suitably attired when taken to the bathroom. Interviews and observation confirmed that conversations of a personal nature were held in private. Residents and family member interviews confirmed that resident privacy is respected. A quiet room/sunroom is available for residents to meet with family and/or make phone calls.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that acknowledges residents’ rights to privacy and intimacy as identified by the individual resident. It includes identifying resident needs; and responding to expressions of sexuality. Resident and family interviews and observation confirmed that residents choose their own clothing to wear each day, and were observed to and be wearing makeup and personal adornments of their choice.</w:t>
            </w:r>
          </w:p>
          <w:p w:rsidR="00EB7645" w:rsidRPr="00BE00C7" w:rsidP="00BE00C7">
            <w:pPr>
              <w:pStyle w:val="OutcomeDescription"/>
              <w:spacing w:before="120" w:after="120"/>
              <w:rPr>
                <w:rFonts w:cs="Arial"/>
                <w:b w:val="0"/>
                <w:lang w:eastAsia="en-NZ"/>
              </w:rPr>
            </w:pPr>
            <w:r w:rsidRPr="00BE00C7">
              <w:rPr>
                <w:rFonts w:cs="Arial"/>
                <w:b w:val="0"/>
                <w:lang w:eastAsia="en-NZ"/>
              </w:rPr>
              <w:t>Resident files, staff and resident interviews and satisfaction surveys confirmed that individual religious, social preferences, values and beliefs were identified, documented, and upheld. However, cultural needs were not always reflected in initial care plans (refer to 1.3.5.2).</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that sets out the guidelines to: prevent; identify; report and correct incidences of abuse and neglect. It includes managing the risk to residents and staff arising from abuse or neglect. Staff receive orientation and annual training on abuse and neglect. Staff interviews identified that staff are aware of their obligations to report any incidences of suspected abuse. Staff, resident, and family interviews confirmed that there was no evidence of abuse or neglect. There were no documented incidents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(Oceania) commitment to ensuring residents who identify as Māori have their needs met in a manner that respects and acknowledges their individual and cultural values and beliefs. There is also a cultural competent services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for staff in providing culturally appropriate care, and for Māori residents and their families, can be sourced if required through the district health board (DHB) Māori health team. Staff receive training in cultural safety and values at orientation and as well as part of the mandatory annual education programme. There were two residents who identified as Māori at the time of audit. Approximately eight staff identified as Māori, two of whom were learning te reo Māori.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awareness of how culturally competent services would be delivered and were aware of the importance of the involvement of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 and that residents and family are involved in assessment and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Assessments include obtaining background information on a resident’s spiritual and cultural preferences, which includes but is not limited to: beliefs; cultural identity; and church attendances. This information informs activities that are tailored to meet identified needs and preferences. A review of residents’ files confirmed that specific cultural needs identified in assessments are reflected in the residents’ activities and long-term care plans. However, this is not consistently documented in the initial care plan (refer to 1.3.5.2).</w:t>
            </w:r>
          </w:p>
          <w:p w:rsidR="00EB7645" w:rsidRPr="00BE00C7" w:rsidP="00BE00C7">
            <w:pPr>
              <w:pStyle w:val="OutcomeDescription"/>
              <w:spacing w:before="120" w:after="120"/>
              <w:rPr>
                <w:rFonts w:cs="Arial"/>
                <w:b w:val="0"/>
                <w:lang w:eastAsia="en-NZ"/>
              </w:rPr>
            </w:pPr>
            <w:r w:rsidRPr="00BE00C7">
              <w:rPr>
                <w:rFonts w:cs="Arial"/>
                <w:b w:val="0"/>
                <w:lang w:eastAsia="en-NZ"/>
              </w:rPr>
              <w:t>The spirituality and counselling policy ensures access for residents to a chosen spiritual advisor or counsellor. An interdenominational church service is held at the facility mid-week for residents who chose to attend a service. Alternatively, residents are able to attend their chosen church service in the community with their families. A hospital chaplain also visits residents on a regular basis. The divisional therapist, who is a celebrant, performs room blessings when a resident has died.</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and surveys confirmed that the services were responsive to individual resident’s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policy to ensure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recorded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abide by the Oceania code of conduct. Staff mandatory training includes professional boundaries. Staff interviews confirmed their understanding of professional boundaries relevant to their respective roles. 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policies and procedures which are current and based on good practice and current legislation and guidelines. The policies align with the Health and Disability Services Standards and ensure safe, current evidence based practice.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the relevant training programmes. Data is entered electronically onto the Oceania database and benchmarking occurs across all Oceania facilities. Staff interviews and monthly meeting minutes identified that the results of benchmarking are made available to and discussed with staff.</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sets out the process to guide staff to ensure there is open disclosure of any adverse event where a resident has experienced any unintended harm while receiving care. Completed incident forms, residents’ records and family interviews demonstrated that family are informed if the resident has an incident/accident; a change in health or a change in needs. Family contact is recorded on 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family are included in resident care planning meetings. Two monthly residents’ forums inform residents of facility activities. Resident and family interviews confirmed that they are invited to attend resident meetings. Meeting minutes sighted confirm that residents and family are informed of staffing; facility matters such as gardening and kitchen purchases; activities such as wine tastings, upcoming entertainers and guest speakers; and resident movements. Meetings also provide an opportunity to raise and discuss issues/concerns with management. Copies of the activities plan and the menu are also available to residents. On alternate months to the resident forums, the facility holds two monthly family forums for family members of residents with dementia. The forum provides a supportive environment for family members to share and learn about dementia, by providing practical solutions and resources for residents’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that they felt comfortable in approaching the BCM and senior staff to discuss services and issues and stated that any concerns raised and queries were addressed promptly. </w:t>
            </w:r>
          </w:p>
          <w:p w:rsidR="00EB7645" w:rsidRPr="00BE00C7" w:rsidP="00BE00C7">
            <w:pPr>
              <w:pStyle w:val="OutcomeDescription"/>
              <w:spacing w:before="120" w:after="120"/>
              <w:rPr>
                <w:rFonts w:cs="Arial"/>
                <w:b w:val="0"/>
                <w:lang w:eastAsia="en-NZ"/>
              </w:rPr>
            </w:pPr>
            <w:r w:rsidRPr="00BE00C7">
              <w:rPr>
                <w:rFonts w:cs="Arial"/>
                <w:b w:val="0"/>
                <w:lang w:eastAsia="en-NZ"/>
              </w:rPr>
              <w:t>Policy provides guidance and procedures for staff to ensure that residents who do not use English as their first language are offered interpreting services. It states that staff have access to a list of interpreting services and family may only interpret with a resident’s consent. The BCM interview confirmed that interpreter services would be accessed through the DHB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Group with the executive management team providing support to the facility. Communication between the service and Oceania executive management occurs monthly with the clinical and quality manager providing support during the audit. The monthly facility business status report provides the executive management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Oceania has a documented mission statement, vision and values. These are displayed close to the facility entrance and included in the information pack provided to residents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overarching Oceania business plan, the facility has a current 2019 - 2021 business plan specific to Eversley Rest Home and Village that sets out the facility’s business objectives; marketing status and competitor overview.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BCM who is supported by a clinical manager (CM). The BCM is a registered nurse (RN) who has been employed at the facility as BCM for the last five years and has over 20 years’ experience in a BCM role at Eversley and other facilities. The BCM has a diploma in business; a diploma in gerontology and has completed leadership training. The clinical care at the facility is overseen by the CM. The CM is an RN who has been in this role for three and a half years and has previous experience as a RN in oncology and hospice care. The management team is supported in their roles by the Oceania executive and regional teams. The BCM and CM have undertaken induction and orientation appropriate to their roles.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and dementia care for up to 50 residents. This includes 33 rest home only beds and 17 dementia care beds. At the time of the audit occupancy included: 31 residents assessed as requiring rest home level of care and 15 residents assessed as requiring dementia level care. Included in these numbers are three residents under the mental health agreement: two assessed at rest home level care (one of whom is under 65 years of age); and one assessed at dementia level care. Current numbers also include one resident assessed at rest home level care under the respite care agreement. The facility has contracts with the DHB for the provision of rest home and dementia level care; mental health; day care and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CM with the assistance of an experienced administrator is responsible for the day to day operation of the service and is supported by experienced RNs, the regional clinical and quality manager, and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CM, an experienced RN with the support and help of the BCM and the regional clinical and quality manager, ensures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Oceania’s documented quality and risk management framework that is available to staff to guide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policies are current and align with the Health and Disability Services Standards and reflect accepted good practice guidelines. The Oceania management group reviews all policies with input from relevant personnel. New and revised policies are presented to staff at staff meetings and made available to staff in hardcopy. Policy updates are also provided as a part of relevant in-service education. Staff sign to confirm that they have read the revised policy. Staff interviews confirmed that they are advised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the organisation’s reporting systems utilising a number of clinical indicators such as: complaints; incidents and accidents; surveillance of infections; pressure injuries; falls; and medication errors (refer to 3.5.1).</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provided evidence that data is being collected and collated with the identification of trends and analysis of data. Where required, corrective action plans are developed, implemented, evaluated and signed off. There is communication with staff of any subsequent changes to procedures and practice through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health and safety and staff meetings evidenced all aspects of quality improvement, risk management and clinical indicators are discussed. Staff reported that they are kept informed of quality improvements. Copies of meeting minutes are available for review in a staff meeting book for staff who were unable to attend a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have input into service improvements and are notified of updates through the facility’s resident/family forums. Satisfaction surveys for residents and family are completed as part of the internal audit programme. The April and September 2018 resident surveys reviewed evidenced satisfaction with services provided and this was confirmed by resident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human resource and other areas specific to the facility. Health and safety policies and procedures are documented along with a hazard management programme. Health and safety is monitored as part of the annual internal audit programme. Corrective actions arising out of health and safety audits are implemented and signed off in a timely manner. All staff, including contractors, receive a health and safety induction on commencement. Risk assessments are completed by the health and safety committee for all new equipment and products.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health and safety. Staff interviews confirmed an awareness of health and safety processes and of the need to report hazards, accidents and incidents promptly. Staff interviews confirm that hazard reporting is actively encouraged. There is evidence of hazard identification forms being completed when a hazard is identified and that hazards are addressed and risks minimised. A current hazard register is available and is reviewed and updated annually or upon identification of a new hazard.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reference essential notification reporting including health and safety, human resources, and infection control. The BCM is aware of situations which require the facility to report and notify statutory authorities, including unexpected deaths, police involvement, sentinel events, infectious disease outbreaks and changes in key management roles. These are reported to the appropriate authority by the Oceania support office and there is evidence of correct and accurate reporting. There had been one event since the last audit requiring essential notification to the Ministry of Health relating to a pressure injury and two events relating to outbreaks notified to the Public Health Unit.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they were encouraged to recognise and report adverse events. Staff interviewed understood the adverse event reporting process and their obligation to documenting all untoward events. Staff records reviewed demonstrated that staff receive education at orientation on the incident and 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incident/accident reporting process and incident/accident reporting forms are available in the staff room. Staff interviews and review of documentation evidenced that staff document adverse, unplanned or untoward events on an incident/accident form which is signed off by the BCM. Incident/accident reports selected for review evidenced the resident’s family had been notified, an assessment had been conducted and observation completed. There is evidence of a corresponding note in the resident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incidents/accidents were implemented. Information gathered is regularly shared at monthly meetings with incidents/accidents graphed, trends analysed. Benchmarking of incident/accident data occurs with other Oceania facilities. Specific learnings and results from incident/accidents inform quality improvement processes and are shared at quality and health and safety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is documented in job descriptions. Staff files reviewed demonstrated that recruitment processes for all staff include reference checks; a signed employment agreement; position specific job description; police vetting; and identification verification. 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to ensure that annual practising certificates and practitioners’ certificates are current. Current certificates were evidenced for all staff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tasks, including personal cares. Interviews confirmed that new staff are supported and buddied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the Oceania documented role specific mandatory annual education and training modules. Staff files and education records evidenced that ongoing education is provided. Training records evidenced that staff have undertaken a minimum of eight hours of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Two of four RNs, including the CM, have completed interRAI assessment training and competencies. There is one RN on maternity leave at the time of audit who has also completed interRAI assessment training and competencies. Systems and processes are in place to ensure that all staff complete their required training and competencies. Annual competencies are completed by care staff and include, for example: medication management; hand washing; moving and handling; wound management; dementia and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have successfully completed the four required dementia unit standards, one is awaiting the results of the final standard, and four are in the process of completing the third and/or fourth unit standards. Two staff are yet to commence dementia training, subject to satisfactory completion of a one month trial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Rosters sighted reflected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available to staff two weeks in advance and staffing levels are reviewed to accommodate anticipated workloads, identified numbers and appropriate skill mix, or as required due to changes in the acuity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health care assistants (HCA), available to safely maintain the rosters for the provision of care, to accommodate increases in workloads and acuity of residents. The facility is spread over one level with the rest home rooms at one side of the facility and a secure dementia unit is at the opposing end.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has 33 beds with 31 residents assessed at rest home level of care. There are two HCAs on duty on the morning for eight hours and one short shift to cover the morning peak time. There are two HCAs on duty for eight hours on the afternoon shift plus a third short shift at peak time. On night duty there are two HCAs.</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17 beds with 15 residents assessed at dementia level care. There are two HCA on duty on the morning for eight hours and one short shift to cover the morning peak time. There are two HCAs on duty for eight hours and one for six hours on the afternoon duty. On night duty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The BCM, who is a RN is on duty each week day morning. In addition to the CM, who is on duty in the morning shift from Tuesday to Friday, there is one RN on duty on each morning shift, seven days per week. Rosters sighted reflected adequate staffing levels to meet resident acuity and bed occupancy and the requirements of the contract.</w:t>
            </w:r>
          </w:p>
          <w:p w:rsidR="00EB7645" w:rsidRPr="00BE00C7" w:rsidP="00BE00C7">
            <w:pPr>
              <w:pStyle w:val="OutcomeDescription"/>
              <w:spacing w:before="120" w:after="120"/>
              <w:rPr>
                <w:rFonts w:cs="Arial"/>
                <w:b w:val="0"/>
                <w:lang w:eastAsia="en-NZ"/>
              </w:rPr>
            </w:pPr>
            <w:r w:rsidRPr="00BE00C7">
              <w:rPr>
                <w:rFonts w:cs="Arial"/>
                <w:b w:val="0"/>
                <w:lang w:eastAsia="en-NZ"/>
              </w:rPr>
              <w:t>There are 46 staff, including: the management team; administration; clinical staff; diversional therapist; and household staff. Household staff include cleaners who provide services seven day a week and kitchen staff. An RN is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family interviews stated that staffing is adequate to meet the residents’ needs. Staff confirm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records are maintained in hardcopy and electronically. Residents’ information, including progress notes, are legible and entered into the resident’s record in an accurate and timely manner, identifying the name and designation of the person making the entry. Health care assistants update resident progress notes on each shift. However, there was insufficient evidence that the RN updated residents’ progress notes on a regular basis or where ever there was any change of condition (refer to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and the procedures for maintaining confidentiality of resident information. Resident care and support information can be accessed in a timely manner and when not in use is protected from unauthorised access by being locked in a cabinet in a staff office.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 and/or resident’s family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Assessment and Service Coordination Service (NASC) assessments are completed for entry to this service. Residents are assessed as requiring rest home level of care or specialist dementia services. The service communicates with needs assessors and other appropriate agencies prior to the resident’s admission regarding the resident’s level of care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provided to residents and their families. Written information on the service philosophy and practices particular to the dementia unit is provided to the family members of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review of clinical records confirmed the admission process was completed by staff in a timely manner. Residents and family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RNs and review of resident files confirmed there is open communication between services, the resident, and the family. All relevant information is documented and communicated to the receiving health provider.  A transfer form accompanies residents to receiving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current legislation and safe practice guidelines. Medicines are delivered in a pre-packed delivery system and checked against the residents’ medication profiles on arrival from the pharmacy. A computerised medication management system is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medication areas evidenced an appropriate and secure medicine dispensing system, free from heat, moisture and light, with medicines stored in original dispensed packs. The drug register is maintained and evidenced weekly checks and six-monthly physical stocktakes.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round observed evidenced compliance with legislation and safe practice guidelines. All staff authorised to administer medicines had current competencies. Staff education in medicine management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refrigerator temperatures are monitored and recorded weekly and are within the recommended temperature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Self-administration of medicine policies and procedures are in place. There were no residents self-administering medicines at the facility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onsite. The food service is in line with recognised nutritional guidelines for older people. All aspects of food procurement, production, preparation, storage, transportation, delivery and disposal comply with current legislation and guidelines. The service operates with an approved food safety plan. Food temperatures are monitored appropriately and recorded as part of the plan.</w:t>
            </w:r>
          </w:p>
          <w:p w:rsidR="00EB7645" w:rsidRPr="00BE00C7" w:rsidP="00BE00C7">
            <w:pPr>
              <w:pStyle w:val="OutcomeDescription"/>
              <w:spacing w:before="120" w:after="120"/>
              <w:rPr>
                <w:rFonts w:cs="Arial"/>
                <w:b w:val="0"/>
                <w:lang w:eastAsia="en-NZ"/>
              </w:rPr>
            </w:pPr>
            <w:r w:rsidRPr="00BE00C7">
              <w:rPr>
                <w:rFonts w:cs="Arial"/>
                <w:b w:val="0"/>
                <w:lang w:eastAsia="en-NZ"/>
              </w:rPr>
              <w:t>The kitchen cleaning schedules and equipment is maintained. Kitchen staff complete an orientation and relevant food safety training. Food in the chiller was covered and dated. The kitchen was clean and all food was stored off the floor.</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weekly seasonal menu approved by a dietitian at organisational level. Diets are modified as required. At interview, the chef reported the RN completes each resident’s nutritional profile on admission with the aid of the resident and family. The kitchen is made aware of any changes. Special diets are catered for and documented in the kitchen. Special equipment, to meet residents’ nutritional needs, is readily available. The dementia unit is provided with additional snacks that are available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stated that staff ask them about their food preferences and they complete surveys which include comments about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residents are declined access to the service, residents and their family, the referring agency and the general practitioner (GP) are informed of the decline to entry. Where requested, assistance would be given to provide the resident and their family with other options for alternative health care arrangements or residential services. The resident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and the initial care plan is completed within 24 hours of admission. Assessments are recorded, reflecting data from a range of sources, including: the resident; family; GP, nurse practitioner; and specialists as applicable. Review of wound care documentation evidenced some wounds including skin tears are recorded on short-term care plans (refer to 1.3.8.3). Resident assessments inform the long-term care plans (refer to 1.3.3.3).</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protocols are in place to ensure continuity of service delivery. Assessment tools are reviewed at least six monthly including, but not limited to: dietary; continence; and pain. Residents interviewed confirmed assessments are conducted according to their needs and in a private manner.</w:t>
            </w:r>
          </w:p>
          <w:p w:rsidR="00EB7645" w:rsidRPr="00BE00C7" w:rsidP="00BE00C7">
            <w:pPr>
              <w:pStyle w:val="OutcomeDescription"/>
              <w:spacing w:before="120" w:after="120"/>
              <w:rPr>
                <w:rFonts w:cs="Arial"/>
                <w:b w:val="0"/>
                <w:lang w:eastAsia="en-NZ"/>
              </w:rPr>
            </w:pPr>
            <w:r w:rsidRPr="00BE00C7">
              <w:rPr>
                <w:rFonts w:cs="Arial"/>
                <w:b w:val="0"/>
                <w:lang w:eastAsia="en-NZ"/>
              </w:rPr>
              <w:t>Review of the environment and interviews with staff confirmed adequate resources and equipment are available to meet the needs of residents. Interviews with residents and families confirmed their involvement in the assessments, care planning, review, treatment, and evaluation of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reviewed were not always fully completed to ensure all residents’ needs were recorded for the first three weeks of the resident’s admission. Long-term care plans are developed with the resident and/ or family/whānau involvement, where appropriate (refer to 1.3.3.3). Short-term care plans are developed for the management of some acute problems (refer to 1.3.8.3). All files sampled had an individualised long-term care plan that covered all areas of identified needs. </w:t>
            </w:r>
          </w:p>
          <w:p w:rsidR="00EB7645" w:rsidRPr="00BE00C7" w:rsidP="00BE00C7">
            <w:pPr>
              <w:pStyle w:val="OutcomeDescription"/>
              <w:spacing w:before="120" w:after="120"/>
              <w:rPr>
                <w:rFonts w:cs="Arial"/>
                <w:b w:val="0"/>
                <w:lang w:eastAsia="en-NZ"/>
              </w:rPr>
            </w:pPr>
            <w:r w:rsidRPr="00BE00C7">
              <w:rPr>
                <w:rFonts w:cs="Arial"/>
                <w:b w:val="0"/>
                <w:lang w:eastAsia="en-NZ"/>
              </w:rPr>
              <w:t>The GPs and allied health staff document in the resident’s file at each consultation.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they have input into their care planning and review, and that the care provided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long term care plans evidenced detailed interventions based on assessed needs, desired outcomes, and goals of residents. General practitioner documentation and records were current. Interviews with residents and families confirmed that the current care and treatment needs were being met. The service maintains family communication records in the residents’ files. Nursing progress notes and observation charts are maintained (refer to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referral to specialist services such as physiotherapy, nutritional, podiatry and specialist nurses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the residents they are allocated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provides an activities programme which reflects the residents’ goals, ordinary patterns of life, and includes community activities. Review of the residents’ clinical files evidenced residents’ social history and their preferred activities are identified and recorded in the long-term care plan. The diversional therapist plans a monthly activities programme, which is made available to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free to choose whether they wish to participate in the group activities. Residents’ participation in the programme was evidenced on audit days. Rest home residents are encouraged to maintain links with the community. Birthdays and other special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Residents’ attendance and participation at the activities is documented. Evaluations are completed six monthly with nursing review and there is evidence of resident and family participation (refer to 1.3.8.2). Resident meetings are conducted bi-monthly and include discussion around activities. The facility provides family forum meetings that are held every two months to provide information sharing and support for families.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individual assessments to determine their individual diversional, motivational and recreational requirements and these are documented on the 24 hour activities plans.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(refer to 1.3.3.3). When changes are noted it is reported to the RN, as confirmed at care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The care plan evaluations did not consistently record the achievement of the residents’ goals and the degree of achievement to the support/interventions provided.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not always completed for short-term problems and evaluated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they are included and kept up to date with any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non-urgent services are indicated or requested, the GP, RN, or CM send a referral to seek specialist service provider assistance from the DHB. Referral forms and documentation are maintained in residents’ files. Referrals are followed up on a regular basis by RN, CM or the GP. </w:t>
            </w:r>
          </w:p>
          <w:p w:rsidR="00EB7645" w:rsidRPr="00BE00C7" w:rsidP="00BE00C7">
            <w:pPr>
              <w:pStyle w:val="OutcomeDescription"/>
              <w:spacing w:before="120" w:after="120"/>
              <w:rPr>
                <w:rFonts w:cs="Arial"/>
                <w:b w:val="0"/>
                <w:lang w:eastAsia="en-NZ"/>
              </w:rPr>
            </w:pPr>
            <w:r w:rsidRPr="00BE00C7">
              <w:rPr>
                <w:rFonts w:cs="Arial"/>
                <w:b w:val="0"/>
                <w:lang w:eastAsia="en-NZ"/>
              </w:rPr>
              <w:t>The family/whānau communication records reviewed in the residents’ files confirmed family are kept informed of the referral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 multidisciplinary team approach evident in the resident files and progress notes record facilitation of choices to the residents (refer to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The emergency and business continuity plan also includes the steps to take in the event of a hazardous substances spill. Policies and procedures specify safety requirements that comply with legislation, including the requirements for clear labelling, disposal and collecting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for example the kitchen; sluice; and cleaning cupboard. Staff interview and records confirmed that staff receive training in the safe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the availability of sufficient personal protective clothing and equipment provided, such as aprons, gloves and masks. Observation and staff interviews confirmed that the use of personal protective clothing and equipment is appropriate to the recognised risks and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preventative and reactive maintenance schedule is in place and implemented. This includes monthly maintenance checks of all areas and specified equipment such as wheel chairs for tyres and brakes; walkers; and the holding temperatures of fridges and freezers. Staff identify maintenance issues in a maintenance log book. These are reviewed three times per week by the maintenance person. Urgent requests are attended to as required. A review of maintenance requests and interviews confirmed staff awareness of the processes for maintenance requests and that repairs were conducted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 interviews and visual inspection confirmed there is adequate equipment to support care, including care for residents with disabilities. An external contractor undertakes an annual test and tag programme and this is up to date. There is evidence of checking and calibration of biomedical equipment and other equipment such as appliances. There is a system to ensure that the facility van that is used for residents’ outings is routinely maintained.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assayed monthly. A review of temperature assays noted that these were maintained within recommended temperature ranges. An interview with the maintenance person confirmed that where hot water temperatures had been above the recommended safe temperature, action was taken and rechecking of the temperature occurred to ensure a safe temperature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rest home area has four internal open air garden courtyards with shade. These are able to be accessed freely by residents and their visitors. The dementia unit has a secure external garden area. In addition, there are external grounds with grassed areas and park adjacent to the facility.  All resident areas can be accessed with mobility aides. Observation and resident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accessible toilets and showering facilities of appropriate design to meet resident needs located in each area of the facility. There is one larger room with a full ensuite. There are some rooms that have a toilet and hand basin and some rooms that have access to shared toilet and bathroom facilities. There are two rooms that are shared by a couple with one room used as a bedroom and the second as their living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sufficient disability access. A visitor toilet is conveniently located near the entrance to the facility. All shower and toilet facilities have call bells; sufficient room for manoeuvrability of a resident and staff member;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the resident’s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Observation and resident interviews confirmed that there was sufficient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are able to personalise their rooms with their own furniture and furnishings. Furniture in residents’ rooms includes residents’ own personal pieces and memorabilia; is appropriate to the setting; and is arranged in a manner that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Equipment such as wheel chairs, walking frames and a hoist were observed to be stored tidily in designated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has a main dining room and lounge area close to the kitchen. In addition, there is a separate smaller dining room and sitting room in the dementia unit and smaller sitting/lounge areas throughout the facility. All internal communal areas have seating and an external views. In addition, there are external areas with seating and shade. All areas can be easily accessed by residents and staff. Sufficient areas are available for residents to access with their visitors if they wish. These areas include a library/quiet room and places where residents could find privacy. Observation and residents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main lounge area was observed to be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to have their main meal with other residents in communal dining rooms and can choose to have their meals in their room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personal clothing, is completed off site by another facility. Where required, ironing of resident clothing is undertaken on-site by night duty HCAs. The facility has a washing machine that is infrequently used to launder resident laundry if required urgently. Colour coded, covered laundry trolleys and bags were observed to be used for transport. Household staff interviewed confirmed knowledge of their role including management of any infectious linen. Clean and dirty areas are clearly delineated and observed in the laundry area. Resident and family members stated that the laundry standard met their requirements.  </w:t>
            </w:r>
          </w:p>
          <w:p w:rsidR="00EB7645" w:rsidRPr="00BE00C7" w:rsidP="00BE00C7">
            <w:pPr>
              <w:pStyle w:val="OutcomeDescription"/>
              <w:spacing w:before="120" w:after="120"/>
              <w:rPr>
                <w:rFonts w:cs="Arial"/>
                <w:b w:val="0"/>
                <w:lang w:eastAsia="en-NZ"/>
              </w:rPr>
            </w:pPr>
            <w:r w:rsidRPr="00BE00C7">
              <w:rPr>
                <w:rFonts w:cs="Arial"/>
                <w:b w:val="0"/>
                <w:lang w:eastAsia="en-NZ"/>
              </w:rPr>
              <w:t>A cleaner is on duty each day, seven days a week and cleaning duties and procedures are clearly documented, to ensure correct cleaning processes occur. Cleaning products are dispensed from an in-line system according to the cleaning procedure. Household staff have received training in the correct and safe use of chemicals. Cleaning equipment and chemicals are stored safely and hygienically in designated locked cupboards. The cleaner stores chemicals on a trolley when cleaning and is aware of the need to keep the trolley with them at all times. Resident and family interviews, resident surveys and observation noted the facility to be clean and tidy.</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cleaning and laundry processes are monitored through the internal audit process. Where issues had previously been identified with regard to laundering, such as missing resident clothing, corrective actions had been generated, recommendations implemented and signed off.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an emergency and business continuity plan includes guidance and resource for staff in the event of an emergency or disaster. It includes a variety of possible emergency events such as: fire; earthquake; flooding; hazardous substance spills; evacuation; robbery; challenging behaviour and a missing person. The plan identifies the contingency plans for all potential service failures and includes considerations of all levels of resident need.</w:t>
            </w:r>
          </w:p>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 that orientation and annual training includes emergency and disaster procedures and fire safety. An approved fire evacuation plan was sighted. Staff interviews and documentation confirmed that fire drills are conducted at least six monthly. A sprinkler system installed throughout the facility; and exit signage displayed. Training records demonstrate that twelve staff have completed fire warden training and the most senior staff member on site on each shift is the building fire warden.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competency register evidenced that 20 staff have current first aid certificate. This includes the BCM; CM; RNs; diversional therapist; and HCAs. There are at least two staff members on each shift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supplies are available to sustain staff and residents in an emergency situation. Alternative energy and utility sources in the event of the main supplies failing. These include but are not limited to a barbeque and gas bottles; torches and lanterns; emergency lighting; sufficient continence supplies; food and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to summon assistance is operational in all resident rooms and bathrooms. Call bells and sensor mats are checked monthly for activation and visual display by the maintenance person. Observation on the days of the audit and resident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systems in place to ensure the protection and safety of residents, visitors and staff. These include visitors signing in and out of the building and the facility being locked at 5 pm in the evenings with restricted entry, through ringing the doorbell afterhours. Staff complete security training as part of the mandatory annual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accessed by residents have safe ventilation and sufficient external windows providing natural light. Heating in the winter is provided by water heated wall panel heaters in resident rooms and communal areas.  A recently installed ducted air conditioning system provides cooling in summer months. Cooling in the summer months is also facilitated by closing blinds and double glazing in some rooms. The environment in all areas was noted to be maintained at a satisfactory temperature for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comfort and temperature of the environment is obtained through the resident forums. Resident and family interviews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external smoking area for residents and steps in place to ensure that smoking does not impact on other residents or staff. At the time of the audit there was one resident who smoked.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manual for Oceania Healthcare is current and documents the infection control policy and the terms of reference for the infection control programme. The infection control nurse (ICN) is a RN and has access to external specialist advice from GPs, DHB infection control specialists, and microbiologists when required. A documented role description for the ICN, including role and responsibilities,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Oceania infection control committee (company-wide) is led by the Oceania general manager aged care. Infection control team at the facility reports to the BCM/CM who report to the regional clinical quality manager. The regional clinical quality manager reports serious infection control issues to the general manager aged care at the Oceania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not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new infections through daily handovers on each shift, progress notes and short-term care plans (refer to 1.3.8.3 and 1.3.3.3). There are processes in place to isolate infectious residents when required. Hand sanitisers and gels are available for staff, residents, and visitors to use. Staff interviewed demonstrated an understanding of the infection prevention and control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at the facility. The ICN indicated there are adequate human, physical, and information resources to implement the programme. Infection control reports are discussed at the facility meetings (refer to 3.5.1). The ICN has access to all relevant resident data to undertake surveillance, internal audits, and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has documented policies and procedures in place that reflect current best practice relating to infection prevention and control. Staff were observed to be complying with the infection control policies and procedures. Staff demonstrated knowledge on the requirements of standard precautions and are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provided by the ICN, CM or external infection control specialists. Infection control education is a mandatory requirement for all staff. A record of attendance is maintained. External contact resources include GP; laboratories; and local DHB staff.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infection surveillance programme is appropriate for the size and complexity of the organisation. Infection data is collected, analysed, monitored and reviewed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they are informed of infection rates at monthly staff meetings and through compiled reports. The GP is informed within the required timeframe when a resident has an infection and appropriate antibiotics are prescribed to combat the infection, as confirmed at GP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ICN collects surveillance data, however, not all data relating to infections is collected. The CM enters the data onto the Oceania intranet. The Oceania support office conducts benchmarking in infection prevention and control with other Oceania facilities and this is shared with management and staff.</w:t>
            </w:r>
          </w:p>
          <w:p w:rsidR="00EB7645" w:rsidRPr="00BE00C7" w:rsidP="00BE00C7">
            <w:pPr>
              <w:pStyle w:val="OutcomeDescription"/>
              <w:spacing w:before="120" w:after="120"/>
              <w:rPr>
                <w:rFonts w:cs="Arial"/>
                <w:b w:val="0"/>
                <w:lang w:eastAsia="en-NZ"/>
              </w:rPr>
            </w:pPr>
            <w:r w:rsidRPr="00BE00C7">
              <w:rPr>
                <w:rFonts w:cs="Arial"/>
                <w:b w:val="0"/>
                <w:lang w:eastAsia="en-NZ"/>
              </w:rPr>
              <w:t>The ICN interviewed confirmed there had been two outbreaks since the previous audit. There was evidence this was reported to the required authority.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definitions of restraint and enabler in the restraint minimisation and safe practice policy are congruent with the definitions in the standard. The approval process for enabler use would be activated when a resident voluntarily requests an enabler to assist them to maintain their independence and/or safety, as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restraint free. The restraint coordinator is the BCM. Staff and management interviews confirmed restraint has not been used at the facility for approximately four years. The dementia unit has appropriate environmental restraint required for dementia level of care services.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including the required aspects of restraint and enabler use, alternatives to restraint and dealing with challenging behaviours. Staff demonstrated knowledge and understanding of the restraint and enabler processes.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7"/>
        <w:gridCol w:w="1280"/>
        <w:gridCol w:w="6911"/>
        <w:gridCol w:w="1603"/>
        <w:gridCol w:w="14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initial medical examinations occur within the required timeframes of the residents’ admissions to the facility. The clinical files of the residents evidenced the residents were examined by the GP three monthly. The residents’ medical conditions were not recorded and signed by the GPs as stable, for this exception to indicate that the residents may be examined by a GP less frequently than monthly. This was evidenced in all seven residents’ files reviewed. Interviews with management confirmed all residents are examined by the GPs three monthly unless their clinical condition requires more frequent review and that the GP exception are not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are completed on the resident’s admission to the facility (refer to 1.3.5.2). Additional assessments such as dietary and pain assessments are recorded. The clinical files evidenced three of seven interRAI assessments and long-term care plans were completed within the 21 days of the residents’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notes are maintained by HCAs on each shift. Progress notes did not always document timely review by the RNs. The Oceania progress notes policy records for rest home and dementia unit level residents for the RNs to update the progress notes at any change of condition and at least three times on a morning shift per week. There was evidence in the four of the seven clinical file that the RN input was not recorded at this frequency.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GP exceptions for three monthly medical reviews are not recorded in the residents’ clinical files.</w:t>
            </w:r>
          </w:p>
          <w:p w:rsidR="00EB7645" w:rsidRPr="00BE00C7" w:rsidP="00BE00C7">
            <w:pPr>
              <w:pStyle w:val="OutcomeDescription"/>
              <w:spacing w:before="120" w:after="120"/>
              <w:rPr>
                <w:rFonts w:cs="Arial"/>
                <w:b w:val="0"/>
                <w:lang w:eastAsia="en-NZ"/>
              </w:rPr>
            </w:pPr>
            <w:r w:rsidRPr="00BE00C7">
              <w:rPr>
                <w:rFonts w:cs="Arial"/>
                <w:b w:val="0"/>
                <w:lang w:eastAsia="en-NZ"/>
              </w:rPr>
              <w:t>ii) Initial interRAI assessments and long-term care plans were not always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iii) Progress notes do not always document timely review by the RNs as required by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GP exceptions are recorded for three monthly medical reviews.</w:t>
            </w:r>
          </w:p>
          <w:p w:rsidR="00EB7645" w:rsidRPr="00BE00C7" w:rsidP="00BE00C7">
            <w:pPr>
              <w:pStyle w:val="OutcomeDescription"/>
              <w:spacing w:before="120" w:after="120"/>
              <w:rPr>
                <w:rFonts w:cs="Arial"/>
                <w:b w:val="0"/>
                <w:lang w:eastAsia="en-NZ"/>
              </w:rPr>
            </w:pPr>
            <w:r w:rsidRPr="00BE00C7">
              <w:rPr>
                <w:rFonts w:cs="Arial"/>
                <w:b w:val="0"/>
                <w:lang w:eastAsia="en-NZ"/>
              </w:rPr>
              <w:t>ii) Ensure all initial interRAI assessment and long- term care plans are completed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iii) Ensure progress notes document timely review by the RN as required by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are completed on the residents’ admissions to the facility by the RNs or the CM. There was evidence in four of the seven clinical files reviewed of incomplete initial care plans. This included no entry in the initial care plans relating to interests and activities; spirituality; cultural care; sexuality and intimacy; and pain. There was evidence of a Māori resident’s needs in the initial care plan not recorded for their spirituality and cultural needs. A resident experiencing chronic pain did not have their pain needs identified in the initial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are not consistently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initial care plans are consistently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 evaluations are completed six monthly. Review of the residents’ clinical files evidenced two of the seven files did not record the achievement of the residents’ goals and the degree of achievement to the support/interventions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wound management at the facility was conducted. Documentation for all wounds (16 in total at time of audit) were reviewed. Wound care plans do not always evidence evaluations are completed. There was evidence of wound care plans not recording the days of next wound reviews and wound not being evaluated according to scheduled evaluation dates when they were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Long-term care plan evaluations do not consistently record the achievement of residents’ goals and the degree of achievement towards meeting those goals.</w:t>
            </w:r>
          </w:p>
          <w:p w:rsidR="00EB7645" w:rsidRPr="00BE00C7" w:rsidP="00BE00C7">
            <w:pPr>
              <w:pStyle w:val="OutcomeDescription"/>
              <w:spacing w:before="120" w:after="120"/>
              <w:rPr>
                <w:rFonts w:cs="Arial"/>
                <w:b w:val="0"/>
                <w:lang w:eastAsia="en-NZ"/>
              </w:rPr>
            </w:pPr>
            <w:r w:rsidRPr="00BE00C7">
              <w:rPr>
                <w:rFonts w:cs="Arial"/>
                <w:b w:val="0"/>
                <w:lang w:eastAsia="en-NZ"/>
              </w:rPr>
              <w:t>ii) The wound care plans do not always record the required evaluation timeframes and when recorded these are not consistently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long-term care plans are evaluated to indicate the degree of achievement and progress towards meeting the residents’ desired goals.</w:t>
            </w:r>
          </w:p>
          <w:p w:rsidR="00EB7645" w:rsidRPr="00BE00C7" w:rsidP="00BE00C7">
            <w:pPr>
              <w:pStyle w:val="OutcomeDescription"/>
              <w:spacing w:before="120" w:after="120"/>
              <w:rPr>
                <w:rFonts w:cs="Arial"/>
                <w:b w:val="0"/>
                <w:lang w:eastAsia="en-NZ"/>
              </w:rPr>
            </w:pPr>
            <w:r w:rsidRPr="00BE00C7">
              <w:rPr>
                <w:rFonts w:cs="Arial"/>
                <w:b w:val="0"/>
                <w:lang w:eastAsia="en-NZ"/>
              </w:rPr>
              <w:t>ii) Ensure wound care plans record the evaluation timeframes and these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policy records the requirement for simple wounds, such as 1A and 1B skin tears, to be managed and documented using the short-term care plans. Wound assessments and management plans are to be completed for all wounds that require more extended wound management. There was evidence of some short-term care plans recorded for short-term problems. Review of the wound management system at the facility evidenced there were two wounds that were not recorded on short-term care plans and one short-term care plan was commenced three days post the wound identification.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not consistently completed for short-term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completed for short-term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documents infection control policies and procedures and these are current. The infection control programme is documented. Review of the infection control data and interviews with staff and management confirmed the infection control programme at the facility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facility’s infection control programme has not been reviewed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facility’s infection control programme is reviewed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policy informs staff on the required collection and collation of the surveillance statistical data. The definitions of infections for surveillance are documented. The required surveillance of infections include potential infections and untreated infections. Interview with the ICN confirmed they collect infections at the end of each month via the electronic medication programme. This data captures infections that have been treated with antibiotics. Potential and untreated infections are not collected. Review of the surveillance logs for the month of February 2019 were not recorded as this data would be compiled towards the end of the month, as confirmed by the ICN.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infections (potential and untreated) are captured in the surveillance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infections are included in the infection control surveillance.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Eversley Rest Home and Village</w:t>
    </w:r>
    <w:bookmarkEnd w:id="58"/>
    <w:r>
      <w:rPr>
        <w:rFonts w:cs="Arial"/>
        <w:sz w:val="16"/>
        <w:szCs w:val="20"/>
      </w:rPr>
      <w:tab/>
      <w:t xml:space="preserve">Date of Audit: </w:t>
    </w:r>
    <w:bookmarkStart w:id="59" w:name="AuditStartDate1"/>
    <w:r>
      <w:rPr>
        <w:rFonts w:cs="Arial"/>
        <w:sz w:val="16"/>
        <w:szCs w:val="20"/>
      </w:rPr>
      <w:t>19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