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Kauri Coast Hospital &amp;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Kauri Coast Hospital &amp;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2019</w:t>
      </w:r>
      <w:bookmarkEnd w:id="7"/>
      <w:r w:rsidRPr="009418D4">
        <w:rPr>
          <w:rFonts w:cs="Arial"/>
        </w:rPr>
        <w:tab/>
        <w:t xml:space="preserve">End date: </w:t>
      </w:r>
      <w:bookmarkStart w:id="8" w:name="AuditEndDate"/>
      <w:r w:rsidR="00A4268A">
        <w:rPr>
          <w:rFonts w:cs="Arial"/>
        </w:rPr>
        <w:t>1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Kauri Coast Home and Hospital is part of the Bupa group.  The service is certified to provide rest home and hospital (geriatric and medical) level care for up to 52 residents.  On the day of audit, there were 51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since 2017.  The clinical manager has been in the role since 2017.  The managers are supported by the operations manager.   </w:t>
      </w:r>
    </w:p>
    <w:p w:rsidRPr="00A4268A">
      <w:pPr>
        <w:spacing w:before="240" w:line="276" w:lineRule="auto"/>
        <w:rPr>
          <w:rFonts w:eastAsia="Calibri"/>
        </w:rPr>
      </w:pPr>
      <w:r w:rsidRPr="00A4268A">
        <w:rPr>
          <w:rFonts w:eastAsia="Calibri"/>
        </w:rPr>
        <w:t>There are quality systems and processes documented that are structured to provide appropriate quality care for people who use the service.  Quality initiatives are being implemented, which provide evidence of improved services for residents.  There is an orientation and in-service training programme documented that provides staff with appropriate knowledge and skills to deliver care and support.</w:t>
      </w:r>
    </w:p>
    <w:p w:rsidRPr="00A4268A">
      <w:pPr>
        <w:spacing w:before="240" w:line="276" w:lineRule="auto"/>
        <w:rPr>
          <w:rFonts w:eastAsia="Calibri"/>
        </w:rPr>
      </w:pPr>
      <w:r w:rsidRPr="00A4268A">
        <w:rPr>
          <w:rFonts w:eastAsia="Calibri"/>
        </w:rPr>
        <w:t>Two areas for improvement have been identified around; timeframes for assessments and self-medicating residents.</w:t>
      </w:r>
    </w:p>
    <w:p w:rsidRPr="00A4268A">
      <w:pPr>
        <w:spacing w:before="240" w:line="276" w:lineRule="auto"/>
        <w:rPr>
          <w:rFonts w:eastAsia="Calibri"/>
        </w:rPr>
      </w:pPr>
      <w:r w:rsidRPr="00A4268A">
        <w:rPr>
          <w:rFonts w:eastAsia="Calibri"/>
        </w:rPr>
        <w:t>The service has achieved a continuous improvement around maintaining a restraint-free environment.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physical privacy and promote their independence.  There is a documented Māori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Residents and relatives are kept up-to-date when changes occur or when an incident occurs.  Systems are in place to ensure residents are provided with appropriate information to assist them to make informed choices and give informed consent.  </w:t>
      </w:r>
    </w:p>
    <w:p w:rsidRPr="00A4268A">
      <w:pPr>
        <w:spacing w:before="240" w:line="276" w:lineRule="auto"/>
        <w:rPr>
          <w:rFonts w:eastAsia="Calibri"/>
        </w:rPr>
      </w:pPr>
      <w:r w:rsidRPr="00A4268A">
        <w:rPr>
          <w:rFonts w:eastAsia="Calibri"/>
        </w:rPr>
        <w:t xml:space="preserve">A complaints policy is documented that aligns with the Health and Disability Commissioner's (HDC) Code of Health and Disability Services Consumers' Rights (the Code).  A complaints register is maintained.  </w:t>
      </w:r>
    </w:p>
    <w:p w:rsidRPr="00A4268A">
      <w:pPr>
        <w:spacing w:before="240" w:line="276" w:lineRule="auto"/>
        <w:rPr>
          <w:rFonts w:eastAsia="Calibri"/>
        </w:rPr>
      </w:pPr>
      <w:r w:rsidRPr="00A4268A">
        <w:rPr>
          <w:rFonts w:eastAsia="Calibri"/>
        </w:rPr>
        <w:t xml:space="preserve">Consents are documented by residents or family and there are advance directives documented if the resident is incompetent to complete.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strategic plan and annual quality, and risk management plans are in place.  These define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 care home manager and the clinical manager provide leadership, and both are registered nurses with a current practising certificate.  </w:t>
      </w:r>
    </w:p>
    <w:p w:rsidRPr="00A4268A">
      <w:pPr>
        <w:spacing w:before="240" w:line="276" w:lineRule="auto"/>
        <w:rPr>
          <w:rFonts w:eastAsia="Calibri"/>
        </w:rPr>
      </w:pPr>
      <w:r w:rsidRPr="00A4268A">
        <w:rPr>
          <w:rFonts w:eastAsia="Calibri"/>
        </w:rPr>
        <w:t>There is a documented quality and risk management system in place.  There are a range of policies, procedures, and forms in use to guide practice.  Quality outcomes data is collected and tabled at relevant meetings.  An internal audit schedule is in place with audits completed as per schedule.  Adverse events are documented.</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an annual training plan that is implemented.  Staff have annual performance appraisals.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and hospital.  An appropriate number of skilled and experienced staff are allocated to each shift. </w:t>
      </w:r>
    </w:p>
    <w:p w:rsidRPr="00A4268A">
      <w:pPr>
        <w:spacing w:before="240" w:line="276" w:lineRule="auto"/>
        <w:rPr>
          <w:rFonts w:eastAsia="Calibri"/>
        </w:rPr>
      </w:pPr>
      <w:r w:rsidRPr="00A4268A">
        <w:rPr>
          <w:rFonts w:eastAsia="Calibri"/>
        </w:rPr>
        <w:t xml:space="preserve">Resident information can be stored securely when not in use.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provided to relatives and residents prior to or on entry to the service.  The registered nurses are responsible for each stage of service provision.  A registered nurse assesses, plans and reviews residents' needs, outcomes and goals with the resident and/or family/whānau input.  Care plans viewed in resident records demonstrated service integration.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There is a comprehensive activity programme that includes activities for younger people.  The programme includes community visitors, outings, entertainment and activities that meet the individual recreational, physical, cultural and cognitive abilities and preferences for the residents.   </w:t>
      </w:r>
    </w:p>
    <w:p w:rsidRPr="00A4268A" w:rsidP="00621629">
      <w:pPr>
        <w:spacing w:before="240" w:line="276" w:lineRule="auto"/>
        <w:rPr>
          <w:rFonts w:eastAsia="Calibri"/>
        </w:rPr>
      </w:pPr>
      <w:r w:rsidRPr="00A4268A">
        <w:rPr>
          <w:rFonts w:eastAsia="Calibri"/>
        </w:rPr>
        <w:t>All meals and baking are done on-site.  Residents' food preferences and dietary requirements are identified at admission and accommodated.  The menu is reviewed by the dietitian.  Residents commented positively on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Kauri Coast has a current building warrant of fitness.  Reactive and preventative maintenance is carried out.  Chemicals are stored securely, and staff are provided with personal protective equipment.  Hot water temperatures are monitored and recorded.  Medical equipment and electrical appliances have been calibrated by an authorised technician.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six-monthly fire drills are conducted.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with the focus being on maintaining a restraint free environment.  Staff receive regular education and training on restraint minimisation and around management of challenging behaviour.  During the audit there were no residents using restraints and six residents using an enabler (bedrail).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49"/>
        <w:gridCol w:w="1280"/>
        <w:gridCol w:w="94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Staff interviewed including four caregivers, two registered nurses (RN), one activities coordinator, the cook, maintenance staff, the clinical manager, northern one regional operations manager and the care home manager could describe how the Code is incorporated into their everyday delivery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Consent is included in the admission agreement and sought for appropriate events and treatment.  Staff were observed to use verbal consent as part of daily service provision.  Staff interviewed demonstrated an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confirmed that consent issues are discussed with the relatives and residents on admission.  Consent forms are shown to them on admission and thereafter as relevant.  All residents' files reviewed included documented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Residents deemed competent by the general practitioner have the choice to make an advance directive.  In records reviewed, all competent residents have an advance directive.  The resident signs these.  The general practitioner has made a decision for some residents as not for resuscitation with this noted as being a clinical medical decision.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Health and Disability Advocacy provides 6 monthly sessions for residents at resident meetings.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The service provides assistance to ensure that the residents are able to participate in as much as they desire and can safely do.  Resident meetings are held at regular 6 weekly intervals with family invited to attend.  The service encourages the community to be a part of the residents’ lives in the service with visits from entertainers.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There were three complaints received in 2018 and all reviewed confirmed that there was evidence of appropriate follow-up actions taken and written responses to the complainant as per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complaints from external authorities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entrance to the facility.  The care home manager, the clinical manager and registered nurses discuss aspects of the Code with residents and their family on admission as confirmed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eleven residents (six rest home level and five hospital level including one identified as a young person with a disability) and two relatives (one hospital and one rest home)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maintained, and independence is encouraged.  Discussions with residents and relatives were positive about the service in relation to their values and beliefs being considered and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and care plans identify residents preferred names.  Values and beliefs information is gathered on admission with family involvement and is integrated into the residents' care plans.  Spiritual needs are identified, and a variety of church services are held. </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on abuse and neglect.  Staff can describe responsibilities around reporting if any abuse or neglect is identified.  Staff have received training around abuse and neglect.  There were no incidents of abuse nor neglect reported in incident forms reviewed nor any documented on the complaints register.  Residents, staff and family interviewed confirmed that there is no evidence of abuse or neglect.  The general practitioner (GP) interviewed confirmed that there was no evidence of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through the district health board and Māori staff who are employed by the service.  A kaumātua provides support and practical application of tikanga with the kaumātua able to describe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All caregivers interviewed were aware of the importance of whānau in the delivery of care for Māori residents.  There are Māori residents identified in the service and four residents interviewed who identified as Māori stated that their cultural values and wishes were upheld.  Māori staff interviewed confirmed that they can converse in Māori and that they believe that resident values are upheld.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emphasised a focus on using simple language and giving simple choices for residents who struggle with communication.  One resident interviewed was very hard of hearing and they stated that staff were very considerate and rather than yelling at them, came closer to communicate.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an infringement with the person concerned.  Residents and relatives reported that staff maintain appropriate professional boundaries, including the boundaries of the caregiver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practice.  These align with the Health and Disability Services Standards.  Policies are reviewed as changes to legislation or practice occurs with these updated at regular intervals.  Clinical staff have access to the internet and external expertise if they need to consult and/or gain further clinical knowledge or advice with this able to be described by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head office staff including the northern one regional operations manager provide support for the service with meetings on site with the clinical and care and home managers at least six to eight weekly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mandatory training requirements for staff and other significant clinical aspects of care delivery.  Staff interviewed confirmed that the facility is a learning environment that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confirmed they are very happy and satisfied with the care provided to their relatives and expressed a satisfaction with the care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initiatives completed in 2018 or those in progress confirm that changes are made to service delivery based on evidence and best practice.  This includes improvements made to improve patient safety.  </w:t>
            </w:r>
          </w:p>
          <w:p w:rsidR="00EB7645" w:rsidRPr="00BE00C7" w:rsidP="00BE00C7">
            <w:pPr>
              <w:pStyle w:val="OutcomeDescription"/>
              <w:spacing w:before="120" w:after="120"/>
              <w:rPr>
                <w:rFonts w:cs="Arial"/>
                <w:b w:val="0"/>
                <w:lang w:eastAsia="en-NZ"/>
              </w:rPr>
            </w:pPr>
            <w:r w:rsidRPr="00BE00C7">
              <w:rPr>
                <w:rFonts w:cs="Arial"/>
                <w:b w:val="0"/>
                <w:lang w:eastAsia="en-NZ"/>
              </w:rPr>
              <w:t>Service improvements have included; (i) Increased education around pressure injury prevention and care.  RNs explained that they are very proactive in preventing pressure injuries and any resident with an assessed high risk has a specific mattress provided according to the risk.  The service has no residents with pressure injuries.  (ii) Weekly clinical meeting has been implemented and RNs interviewed explained how they discuss all high-risk residents at the meeting to ensure appropriate care has been implemented.  (iii) A memorial book has been implemented, when a resident passes away a poem is written and put in the memorial book.  The poem is read out at the tangi by representing Kaumātua and a copy remains with the family along with photos.  They hold a memorial church service six monthly where the poems and photos are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Accident/incident forms have a section to indicate if next of kin have been informed (or not) of an accident/incident.  Fifteen accident/incident forms reviewed (December 2018 and January 2019), identified family are kept informed.  Relatives interviewed, stated that they are kept informed when their family member’s health status changes.  All praised the managers for their ability to communicate on a very regular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Family visits their relative a number of times each day to interpret for staff and to talk with one resident identified as being non-English speaking.  The care home manager also confirmed that external interpreters would be accessed if there was a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Kauri Coast Care Home and Hospital is a Bupa residential care facility.  The service currently provides care for up to 52 residents at hospital and/or rest home level of care.  On the day of the audit there were 51 residents (32 hospital residents and 19 rest home residents).  One hospital resident is funded through ACC; one is funded as a young person with disability; there is a respite resident who is also under the mental health team; one resident using the planned respite bed identified as hospital level of care (district health board short-stay funded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Kauri Coast is part of the northern one Bupa region and the managers from this region meet two monthly to review and discuss the organisational goals and their progress towards these.  The care home manager provides a weekly and monthly report to the northern one regional operations manager.  The northern one regional operations manager visits six to eight weekly to provide support to the managers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quarterly report is prepared by the care home manager and sent to the Bupa quality and risk team on the progress and actions that have been taken to achieve the Kauri Coast quality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since April 2017, with previous experience as the clinical manager.  The care home manager is a registered nurse who has worked in the health and disability sector for over 10 years.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has been in the role since 2016 with experience for a further two years in the service as a registered nurse.  The CM has previous aged care management experience.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who is employed full time, supports the care home manager, and steps in when the care home manager is absent with support from the northern one regional operations manager.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operational plans, policies and procedures promote a safe and therapeutic focus for residents affected by the aging process and promotes quality of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established.  A quality plan is documented annually with documentation reviewed confirming that a review of the 2018 plan has been completed.  Interviews with the managers and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goals in 2018 included a focus on reducing or minimising risk of pressure injuries by implementing interventions within a timely manner, to prevent further break down of the skin due to a Coroners and HDC case that took place in 2014.  The staff have improved skin assessments on admission, training of skin care and educating staff on how to test the skin for blanching/non-blanching to ensure that accurate data is reported.  A senior registered nurse has been appointed as a wound management champion and they ensure that processes and communication around wound management is reviewed through weekly clinical review meetings, registered nurse and unit meetings.  Another annual goal was to become restraint free and this has been achieved for the past six months.  Falls have also been reduced with implementation of new strategies and improved resources such as pull string bed monitors, chair alarms, more sensor mats, increased regular observation monitoring times if necessary, and an improvement in the number of activities offered.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resident and family satisfaction surveys.  The customer feedback survey for 2018 identified that Kauri Coast was the second-best Bupa service.  Overall satisfaction was rated as 84%; 85% satisfaction with staff, their room and quality of care; 87% satisfaction with their relationship with home.  An action plan has been put in place to address recommendations and suggestions raised through the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Indicators are monitored at least monthly and those reviewed include, for example, complaints, incidents and accidents, resident falls, infection rates, restraint use, pressure areas, wounds, and medication errors.  The results from Kauri Coast are benchmarked against other like Bupa facilities.  Data is analysed and discussed and used to improve service delivery.  The service has continued to hold weekly meetings with the management team and with the nurses on duty.  They review all residents regarding past events and possible actions for the following week.  The management team meets monthly with the qualified nurses and they discuss clinical issues, staffing issues, (new) nursing development, leadership issues and interRAI.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for the service, with evidence of internal audits occurring as per the audit schedule.  Quality and risk data, including trends in data are benchmarked.  Meeting minutes reviewed identify follow-through actions on quality data/trends and results of internal audits.  Corrective actions are implemented when service shortfalls are identified and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A health and safety system is in place.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Incidents are benchmarked and analysed for trends with improvements made to service delivery when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Each event involving a resident reflected a clinical assessment and follow-up by a registered nurse.  Neurological observations are taken if there is an unwitnessed fall, if there is a head injury or for any other reason identified by the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are aware of their requirement to notify relevant authorities in relation to essential notifications.  There have been three section 31 notifications for suspected deep tissue injuries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Eight staff files (clinical manager, care home manager, two RNs, two caregivers, a cook and activities coordinator) reviewed, evidenced implementation of the recruitment process, employment contracts, completed orientation, and annual performance appraisals.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staff are buddied for a period of time (eg, caregivers two weeks, RN four weeks), and during this period they do not carry a clinical load.  The caregivers when newly employed, complete an orientation booklet that has been aligned with foundation skills unit standards.  On completion of this orientation, they have effectively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The caregivers undertake Aged Care Education (Careerforce).  RNs attend six monthly training through Bupa.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clinical manager and one RN have completed the interRAI training.  The service had a high turnover of registered nurses in 2018 and has struggled to recruit registered nurses with interRAI training (link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support work, registered nurse, and cleaner).  Core competencies are completed annually, and a record of completion is maintained (signed competency questionnaires sighted in reviewed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competencies include (but not limited to), wound, medication administration and restraint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goal for 2019 to improve attendance at training, however, in 2018 other strategies were offered to ensure that staff completed training.  These included completion of self-learning, around topics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clinical manager is on-call after hours with other registered nurses.  The care home manager and clinical manager are available during weekdays.  Adequate RN cover is provided 24 hours a day, seven days a week with a registered nurse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total of 53 staff including 27 caregivers, 7 registered nurses, 10 household staff (cook, cleaner, laundry staff) and 2 activity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numbers of caregiver’s support RNs.  There is a team leader (senior caregiver) allocated to the morning and afternoon shifts in the rest home.  Interviews with the residents and relatives confirmed staffing overall was satisfactory. </w:t>
            </w:r>
          </w:p>
          <w:p w:rsidR="00EB7645" w:rsidRPr="00BE00C7" w:rsidP="00BE00C7">
            <w:pPr>
              <w:pStyle w:val="OutcomeDescription"/>
              <w:spacing w:before="120" w:after="120"/>
              <w:rPr>
                <w:rFonts w:cs="Arial"/>
                <w:b w:val="0"/>
                <w:lang w:eastAsia="en-NZ"/>
              </w:rPr>
            </w:pPr>
            <w:r w:rsidRPr="00BE00C7">
              <w:rPr>
                <w:rFonts w:cs="Arial"/>
                <w:b w:val="0"/>
                <w:lang w:eastAsia="en-NZ"/>
              </w:rPr>
              <w:t>All beds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 home: AM – there are three caregivers and one team Leader (senior caregiver).  PM: There are two caregivers and one team leader (caregiver); on night: there is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There is one RN and four caregivers including two on short shifts; PM: one RN and three caregivers (one short shift, and two long shift); on night – there is one RN and one caregiver.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are provided for families and residents prior to admission or on entry to the service.  Admission agreements reviewed (for long-term residents and respite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Short-term resident files include, details of medications, details of property (valuables) and an overall transfer form for the resident and family to have, plus any details of any specialist referrals made.</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Care staff who administer medications (RNs and senior caregivers) have been assessed for competency on an annual basis.  Registered nurses have completed syringe driver training.  Education around safe medication administration has been provided annually.  There is evidence of medication reconciliation on delivery of robotic roll medications against the medication chart.  All medications are stored safely in the one medication room.  The expiry dates of the bulk supply order medications were checked regularly.  The medication fridge temperature is checked daily.  There were four self-medicating residents on the day of audit.  Not all of the self-medication assessments and consents were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reviewed on the computerised system had photo identification and allergy status documented on the chart.  The computerised administration sheets corresponded with the medication charts.  All medication charts evidenced three monthly GP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managed by the kitchen manager who is supported by cooks and kitchen assistants.  Food services staff have attended food safety training.  The food control plan has been verified and expires 22 September 2019.  All meals and baking are prepared and cooked on site.  A dietitian has reviewed the menu.  The kitchen receives a resident dietary profile and is notified of any dietary changes.  Resident dislikes are accommodated.  The kitchen staff were able to describe alternative menu choices available for residents, (eg, a monthly Māori boil up, dahl for the Indian resident as well as vegetarian meals, gluten free, diabetic and puree, soft and minced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transported in hot boxes by the service lift to the kitchenettes in the rest home and hospital dining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chiller and cooked temperatures are taken and recorded daily.  Perishable foods sighted in the kitchen and facility kitchenette fridges were dated.  The dishwasher is checked regularly by the chemical supplier.  Chemicals are stored safely.  A cleaning schedule and task list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and surveys, along with direct input from residents, provide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The kitchen has been refurbished with new flooring and an air conditioner.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assessment booklet is completed by an RN on admission including relevant risk assessment tools.  Resident needs and supports are identified through the ongoing assessment process in consultation with the resident/relative and significant others.  InterRAI assessments and assessment notes were in place for the long-term resident files reviewed including the younger person (link 1.3.3.3).  The long-term care plans reflected the outcome of the assessments.  Two respite care resident files included a short-stay nursing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in all long-term files were individualised and resident focused.  All resident files reviewed included a comprehensive care plan that reflected the interRAI assessments, issues identified though progress notes and issues identified though GP and allied health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Two younger person’s files reviewed reflected their younger persons needs and included community links.  The short-term resident files reflected their assessed and stated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in use for changes to health status to guide staff in the delivery of care for short-term needs.  Care plans evidenced resident (as appropriate) and family/whānau involvement in the care plan process.  Relatives interviewed confirmed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allied health care professionals involved in the care of the resident including GP, physiotherapist, podiatrist, dietitian, district nurses and wound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was documented evidence on the family/whānau record page that family members were notified of any changes to their relative’s health status including GP visits, infections, accidents/incidents and medications.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were sighted in the treatment rooms.  Wound management policies and procedures are in place.  Wound assessment and treatment forms, ongoing evaluation form and evaluation notes and photos as applicable, were in place for 12 residents in one wing and 18 in the other wing.  There were no identified pressure injuries.  The wound logs included recently healed wound for daily checking as well as ongoing wounds.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bowel records, blood sugar levels, pain, challenging behaviour, repositioning charts and food and fluid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coordinator implements the Monday to Friday integrated rest home/hospital activity programme.  Care staff assist hospital level residents to activities and entertainment of their choice.  One-on-one contact is made with residents who are unable or choose not to participate in activities.  Activities include (but are not limited to) news and views, exercises, reminiscing, board games, quizzes, movies and entertainment.  Community links are maintained and religious services.  There are van outings in the wheelchair access van to the movies, garden centres, parks and shopping trips.  One younger resident has assistance from ACC to access the community, one other younger person praised the activities and how the service supports the resident to maintain as much independence as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purchased a mobility scooter for residents to use.  Residents who use the scooter have a competency completed to ensure their safety.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and Map of Life is completed on admission.  Socialising and activities are included in the long-term care plan.  The activity coordinator is involved in the six-monthly review.  The service receives feedback and suggestions for the programme through surveys, the food forum and resident meetings.  Families are encouraged to be involved in the activity programme, outings and events such as the movie nights.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were positive about the activity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sampled.  The service facilitates access to other medical and non-medical services.  Referral documentation is maintained on resident files.  Transfer information includes; a transfer checklist, level of care, and a copy of the medication chart.</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 residents and the families are kept informed of the referrals made by the service.  There is evidence of the service referring residents for re-assessment for a higher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chemicals are labelled with manufacturer labels.  There are designated areas for storage of cleaning/laundry chemicals and chemicals were stored securely.  Product use charts were available, and the hazard register identifies hazardous substances.  Gloves, aprons, and goggles are available for staff.  Safe chemical handling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The exterior has been well maintained with safe paving, outdoor shaded seating, lawn and gardens.  Caregivers interviewed confirmed there is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with significant environmental upgrade.  These have included; new furniture both inside and outside, repainting and resident room refurbishment.</w:t>
            </w:r>
          </w:p>
          <w:p w:rsidR="00EB7645" w:rsidRPr="00BE00C7" w:rsidP="00BE00C7">
            <w:pPr>
              <w:pStyle w:val="OutcomeDescription"/>
              <w:spacing w:before="120" w:after="120"/>
              <w:rPr>
                <w:rFonts w:cs="Arial"/>
                <w:b w:val="0"/>
                <w:lang w:eastAsia="en-NZ"/>
              </w:rPr>
            </w:pPr>
            <w:r w:rsidRPr="00BE00C7">
              <w:rPr>
                <w:rFonts w:cs="Arial"/>
                <w:b w:val="0"/>
                <w:lang w:eastAsia="en-NZ"/>
              </w:rPr>
              <w:t>A mobility scooter has been purchased to assist residents to access the community, all residents who wish to use the scooter have a competency completed and GP signoff.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combination of ensuite rooms and rooms without ensuites.  There are sufficient numbers of resident communal toilets and showers in close proximity to resident rooms and communal areas.  Visitor toilet facilities are available.  Residents interviewed stated their privacy and dignity is maintained while attending to their personal cares and hygiene.  The communal toilets and showers are well signed and identifiable and include vacant/in-use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are able to manoeuvre mobility aids around the bed and personal space.  All beds are of an appropriate height for the residents.  Caregivers interviewed reported that rooms have sufficient space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lounge and dining room for both rest home and hospital level residents.  The dining rooms and lounges are spacious.  All areas are easily accessible for the residents.  The furnishings and seating are appropriate for the consumer group.  Residents interviewed reported they are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sluice and separate laundry area where all linen and personal clothing is laundered by designated laundry staff.  Staff have attended infection control education and there is appropriate protective clothing available.  Manufacturer’s data safety charts are available.  Residents and family interviewed reported satisfaction with the laundry service and cleanliness of the room/facility.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disaster policies and procedures are in place.  An approved fire evacuation plan is in place.  Fire evacuation drills take place every six months.  The orientation programme and annual education and training programme include mandatory fire and security training.  Staff interviews confirmed their understanding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Required fire equipment was sighted on the day of audit and all equipment has been checked within required timeframes.  A civil defence plan is in place.  There are adequate supplies in the event of a civil defence emergency including food, water, blankets, gas BBQ cooking and back-up power.</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There is a minimum of one person who is available 24 hours a day, seven days a week with a current first aid/CPR certificate.</w:t>
            </w:r>
          </w:p>
          <w:p w:rsidR="00EB7645" w:rsidRPr="00BE00C7" w:rsidP="00BE00C7">
            <w:pPr>
              <w:pStyle w:val="OutcomeDescription"/>
              <w:spacing w:before="120" w:after="120"/>
              <w:rPr>
                <w:rFonts w:cs="Arial"/>
                <w:b w:val="0"/>
                <w:lang w:eastAsia="en-NZ"/>
              </w:rPr>
            </w:pPr>
            <w:r w:rsidRPr="00BE00C7">
              <w:rPr>
                <w:rFonts w:cs="Arial"/>
                <w:b w:val="0"/>
                <w:lang w:eastAsia="en-NZ"/>
              </w:rPr>
              <w:t>Security cameras have been installed inside the service and outside following recent issues with youths outside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sunlight.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Staff are well informed about infection control practises and reporting.  The infection control coordinator is a registered nurse and is responsible for infection control across the facility.  The committee and the Bupa governing body in conjunction with Bug Control, is responsible for the development of the infection control programme and its review.  The infection control programme is well established at Kauri Coast.  The infection control committee consists of a cross-section of staff and there is external input as required from general practitioners, Bupa quality &amp; risk team and Medlab.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Kauri Coast.  The infection control (IC) nurse has maintained best practice by completing infection control updates online.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foam hand rub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It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The orientation package includes specific training around hand hygiene and standard precautions.  Infection control training is regularly held.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received education both in-house and by an external provider to enhance her skills and knowledge.  The infection control coordinator has access to the Bupa intranet with resources, guidelines best practice and group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toolbox talks have been provided including (but not limited to) standard precautions and MRSA.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  Internal infection control audits also assist the service in evaluating infection control needs.  There is close liaison with the GPs and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nurse.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restraint standards are being implemented and implementation is reviewed through internal audits, facility meetings, and regional restraint meetings and at an organisational level.  Interviews with the staff confirmed their understanding of restraints and enablers.  The service has remained restraint- free for six months.</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On the day of audit, the service had six residents using enablers in the form of bedrails.  All enabler use is voluntary.  Two resident files of enabler use were reviewed.  The enabler assessment form was completed and signed by the resident.  These had been evaluated at least six monthly.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7"/>
        <w:gridCol w:w="1280"/>
        <w:gridCol w:w="3978"/>
        <w:gridCol w:w="4156"/>
        <w:gridCol w:w="25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in place are robust and provide safe guidelines for staff.  There are processes and procedures with accompanying templates for self-medication by residents.  Four residents self-medicate some of their medications, all four had appropriate storage, but three of the four did not have a three-monthly GP review and re-assessment of their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four self-medication assessment and consent charts, three had not been reviewed three monthly by the GP.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documented three-monthly GP review of the self-medication process for individual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eight resident files reviewed, six were for long-term residents, an additional three new resident files were reviewed for timeframes on admission as the original sample did not include new residents.   The three new resident files did not have the interRAI and long-term care plan documented within set time fames</w:t>
            </w:r>
          </w:p>
          <w:p w:rsidR="00EB7645" w:rsidRPr="00BE00C7" w:rsidP="00BE00C7">
            <w:pPr>
              <w:pStyle w:val="OutcomeDescription"/>
              <w:spacing w:before="120" w:after="120"/>
              <w:rPr>
                <w:rFonts w:cs="Arial"/>
                <w:b w:val="0"/>
                <w:lang w:eastAsia="en-NZ"/>
              </w:rPr>
            </w:pPr>
            <w:r w:rsidRPr="00BE00C7">
              <w:rPr>
                <w:rFonts w:cs="Arial"/>
                <w:b w:val="0"/>
                <w:lang w:eastAsia="en-NZ"/>
              </w:rPr>
              <w:t>Six long-term residents had up to date interRAI assessments and care plans.  However, the routine interRAI assessments were not all completed six monthly and long-term care plans were completed prior to the interRAI.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 initial interRAI assessment and long-term care plan were not documented within recommended timeframes for one rest home and two hospital new admissions.  (ii) Three of six long-term files did not have ongoing interRAI reassessments documented six monthly.  The same three files had nursing care plans completed and documented prior to the interRAI assessment being done.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the interRAI assessments and long-term care plans are completed within the required ARCC timeframes.  (ii) Ensure that routine interRAI reassessments are documented at least six monthly and prior to the long-term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93"/>
        <w:gridCol w:w="1280"/>
        <w:gridCol w:w="1448"/>
        <w:gridCol w:w="9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remains restraint-free.  They have been recognised as achieving a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goal for 2018 was to become restraint free with initial discussions starting in 2016.  The clinical manager and restraint coordinator discussed this with the GP and relevant residents and family members at the resident review meetings to find ways to reduce and minimise restraint use.  A trial was put in place to remove the restraint with all parties giving consent and each resident being very closely monitored.  The trial also involved short periods for a resident to be restraint free (half a day then one-day etc).  Enablers that had been classified as a restraint was appropriately re-assessed and aligned with the policy to record this as an enabler.  There was a daily and weekly review around incidents with none identified.  The care team also focused their attention on maintaining resident safety as opposed to a focus on reducing falls and use of restraint.  Strategies to improve resident safety included implementation of a specific session on the care plan appropriate to the needs of the resident that included use of sensor mats, hip protectors, close monitoring of the individual (eg, 15 or 30-minute intervals, regular toileting, increased activities, pull string monitors, and reviewing level of care for each resident that requires monitoring).  This has resulted in 2018, in a reduction in falls from an average of 17.76 per 1000 occupied beds in January 2018 to zero in July, September, November and December, with 4.97 in June, and 3.18 in August and 1.95 in October 2018.  The service has been restraint free for six months with reviews completed six weekly through the health and safety meetings, through clinical resident reviews weekly, monthly restraint reporting, review by the GP twice a week.  These include bringing residents out of their rooms into communal areas, sensor mats, chair alarms, pull string monitors, regular observation monitoring 15 min – hourly, activities, food and warm drinks, and reviewing level of care for each resident that requires monitoring.  Staff have had increased training sessions around managing challenging behaviour, safe moving and handling, observation and reporting and use of restraint and enablers.  Attendance records confirmed that all care staff have one-to-one sessions with the nurse or physiotherapist to complete competencies.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Kauri Coast Hospital &amp; Rest Home</w:t>
    </w:r>
    <w:bookmarkEnd w:id="58"/>
    <w:r>
      <w:rPr>
        <w:rFonts w:cs="Arial"/>
        <w:sz w:val="16"/>
        <w:szCs w:val="20"/>
      </w:rPr>
      <w:tab/>
      <w:t xml:space="preserve">Date of Audit: </w:t>
    </w:r>
    <w:bookmarkStart w:id="59" w:name="AuditStartDate1"/>
    <w:r>
      <w:rPr>
        <w:rFonts w:cs="Arial"/>
        <w:sz w:val="16"/>
        <w:szCs w:val="20"/>
      </w:rPr>
      <w:t>31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