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Calvary Hospital Southland Limited - Calvary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Calvary Hospital Southland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Calvary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February 2019</w:t>
      </w:r>
      <w:bookmarkEnd w:id="7"/>
      <w:r w:rsidRPr="009418D4">
        <w:rPr>
          <w:rFonts w:cs="Arial"/>
        </w:rPr>
        <w:tab/>
        <w:t xml:space="preserve">End date: </w:t>
      </w:r>
      <w:bookmarkStart w:id="8" w:name="AuditEndDate"/>
      <w:r w:rsidR="00A4268A">
        <w:rPr>
          <w:rFonts w:cs="Arial"/>
        </w:rPr>
        <w:t>26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Calvary Hospital provides rest home and hospital level care for up to 73 residents. The service is operated by Calvary Hospital Southland Limited and is managed by a manager with assistance from a clinical coordinator. Residents and families continue to rate the care and services provided highly.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Improvements have been made to the medicine management systems and the food safety and storage systems. Therefore, the areas requiring correction from the previous audit have now been addressed. No areas requiring corrective action have been raised during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Residents and family members are advised during the admission process about how to make a complaint should they need to. Relevant information and forms are available.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business plan includes the scope, values, mission statement, direction and goals of the organisation.  The separate quality and risk management plan describes the processes for monitoring the services provided.  An experienced and suitably qualified person manages the facility and provides monthly operational reports on the organisational goals to the governing body.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as applicable.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There is a systematic approach to identify and deliver ongoing staff training to enable safe service delivery. Individual staff performance reviews are completed annually.  </w:t>
      </w:r>
    </w:p>
    <w:p w:rsidRPr="00A4268A">
      <w:pPr>
        <w:spacing w:before="240" w:line="276" w:lineRule="auto"/>
        <w:rPr>
          <w:rFonts w:eastAsia="Calibri"/>
        </w:rPr>
      </w:pPr>
      <w:r w:rsidRPr="00A4268A">
        <w:rPr>
          <w:rFonts w:eastAsia="Calibri"/>
        </w:rPr>
        <w:t xml:space="preserve">Staffing levels and the skill mix are consistently meeting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Calvary’s clinical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It was clean and well maintained. There is a current building warrant of fitness and appropriate maintenance systems and equipment checking are being maintained. The facility and surrounding environs are safe.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restraints and thirteen enablers were in use at the time of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and compliments policy, procedure and associated forms meet the requirements of Right 10 of the Code.  Information on the complaints process is provided to residents and families both verbally from the admitting nurse and in written format. Residents and family members interviewed were aware of how to make a complaint and their right to do so. Complaint forms are available at the front entrance and information and forms are also available from the receptionist.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(June and August 2018) and that actions taken, through to an agreed resolution, are documented and have been completed within the required timeframes.  The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were advised in a timely manner about any incidents or accidents and of the outcomes of regular and any urgent medical reviews. This was supported in residents’ records reviewed and in incident reports reviewed.  Any medicine error is discussed with and followed through with the resident and the GP.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coordinator know how to access interpreter services through the local DHB, although reported this was rarely required due to all residents being able to speak English, or families choosing to support their loved one instead. An example of the latter occurring was reported as the resident has some comprehension, but family assist as needed. A  tablet is used to assist with communication for a person with a physical disability.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2016 – 2020 strategic business plan outlines the purpose, values, scope, direction and goals of the organisation. Separate documents detail the values of honesty, respect, communication, compassion and enjoyment and outline the mission statement more fully. The planning documents described objectives and the associated operational plans. Although the business plan document itself did not demonstrate it had been formally reviewed annually, there was evidence of updates on the priority goals in separate documentation that provided clear direction. The manager described how other goals had not changed, therefore no updates had been required. A sample of monthly reports to the Board of Trustees showed adequate information to monitor performance is reported, including from each department such as the kitchen and cleaning as well as from the clinical coordinator. Occupancy, movements of residents, risk identification, issues of concern, complaints and summaries of incidents are examples of the content of the reports. A feasibility study has been completed for planned developments by the service provider, as per a business plan goal and its action plan.</w:t>
            </w:r>
          </w:p>
          <w:p w:rsidR="00EB7645" w:rsidRPr="00BE00C7" w:rsidP="00BE00C7">
            <w:pPr>
              <w:pStyle w:val="OutcomeDescription"/>
              <w:spacing w:before="120" w:after="120"/>
              <w:rPr>
                <w:rFonts w:cs="Arial"/>
                <w:b w:val="0"/>
                <w:lang w:eastAsia="en-NZ"/>
              </w:rPr>
            </w:pPr>
            <w:r w:rsidRPr="00BE00C7">
              <w:rPr>
                <w:rFonts w:cs="Arial"/>
                <w:b w:val="0"/>
                <w:lang w:eastAsia="en-NZ"/>
              </w:rPr>
              <w:t>An on-site manger has overall responsibility for management of the facility. The manager is a registered nurse with a current practising certificate and has been in the role for 10 years. A signed position description and an individual employment agreement define the responsibilities and accountabilities of the role.  The manager confirmed knowledge of the sector, regulatory and reporting requirements and maintains currency through participating in a range of professional development opportunities. Examples of these include attendance at the ongoing internal staff education programme sessions, at an operational leadership and management course, conferences on applicable issues such as aged care and dementia and by participating in the two monthly DHB aged care regional meetings. These were confirmed as components of a comprehensive training record that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of the total of 73 residents at midnight, 29 people were receiving rest home level care (one of whom was receiving respite care) and 37 hospital level care (two of whom were respite) under the Aged Related Residential Care (ARRC) Agreement with the local District Health Board (DHB). Other residents receiving hospital level care included two people on the young persons with disabilities contract with the Ministry of Health, one funded through the Accident Compensation Corporation, one on a long-term chronic health conditions contract and three on a palliative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Quality and risk management and senior staff meetings are held two monthly, separate caregiver/hospital aid and registered/enrolled nurse meetings are three monthly and the restraint approval group meets six monthly and as needed. Meeting minutes reviewed confirmed regular review and analysis of quality indicators and that related information is reported and discussed. All staff are requested to read meeting minutes and be involved at levels relevant to their role. According to the meeting minutes reviewed, internal audits are completed as per the comprehensive schedule, reports on the analyses of incidents, accidents and any complaints are discussed, monthly reports on infection control and possible contributing factors are provided, as is an overview on the education and orientation of staff since the previous meeting. There was evidence of relevant corrective actions having been developed and implemented to address shortfalls. Resident and family satisfaction surveys are completed annually. Although the analysis is not yet complete, the most recent survey showed issues around food and noise were emerging. The manager informed how she has been addressing food concerns by personally involving herself in the residents’ meetings and liaising directly with the kitchen for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available cover all necessary aspects of the service and contractual requirements, including reference to the interRAI Long Term Care Facility (LTCF) assessment tool and process.  Policies are based on best practice and were current at the time of audit.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These actions were also evident in quality meeting minutes, in a risk register and a hazard register, which is regularly reviewed. A strength of this service provider is their commitment to health and safety. They continue to maintain tertiary status within the Accident Compensation Corporation accredited employers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As noted in standard 1.1.9, open disclosure is occurring. Adverse event data is collated, analysed and reported to the quality and risk management meetings, and other staff meetings as relevant.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the clinical coordinator described essential notification reporting requirements, demonstrating they were fully aware of the requirements and circumstances for which reporting was required.  They advised there have been two notifications of pressure injuries to the Ministry of Health and evidence of related correspondence regarding these was sighted. A long-standing coroner’s inquest was also still open, although the manager informed they were no longer being asked to provide responses.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that records are maintained, and the organisation’s policies are being consistently implemented to ensure the needs of the residents are met safely. </w:t>
            </w:r>
          </w:p>
          <w:p w:rsidR="00EB7645" w:rsidRPr="00BE00C7" w:rsidP="00BE00C7">
            <w:pPr>
              <w:pStyle w:val="OutcomeDescription"/>
              <w:spacing w:before="120" w:after="120"/>
              <w:rPr>
                <w:rFonts w:cs="Arial"/>
                <w:b w:val="0"/>
                <w:lang w:eastAsia="en-NZ"/>
              </w:rPr>
            </w:pPr>
            <w:r w:rsidRPr="00BE00C7">
              <w:rPr>
                <w:rFonts w:cs="Arial"/>
                <w:b w:val="0"/>
                <w:lang w:eastAsia="en-NZ"/>
              </w:rPr>
              <w:t>Review of a folder containing annual practising certificates of health professionals showed these are being checked annually for all GPs who attend the residents, a visiting podiatrist, the dietitian, the local pharmacists from the contracted pharmacy and the registered and enrolled nurses employed at Calvary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Various changes have been made to the programme to ensure the requirements are met and to ensure staff with different learning styles are catered for. Staff reported that the orientation process prepared them well for their role and noted that the orientation timeframe varies according to an individual’s previous experience and/or how quickly they pick up the requirements. Staff records reviewed showed documentation of completed orientation. The training coordinator reviews the orientation programme with the new staff person at three months.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with more specific annual plans, which include mandatory training requirements and competency assessments. The internal staff training programme is particularly comprehensive. A system is in place to ensure staff who miss an on-site training session catch up on the information or complete the relevant competency within a pre-determined timeframe. Care staff are required to undertake a New Zealand Qualification Authority education programme, as per the requirements of the provider’s agreement with the DHB. Records showed there is a high level of uptake for this programme by the care staff. The training coordinator is the internal assessor for the programme. There are five registered nurses and two enrolled nurses who are interRAI trained and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and implemented processes for determining staffing levels and skill mixes to provide safe service delivery, 24 hours a day, seven days a week (24/7). The manager is responsible for development of the rosters and informed she adjusts staffing levels to meet the changing needs of residents.  An afterhours on call roster of the manager and the clinical coordinator is in place, with staff reporting that good access to advice is available when needed. There are arrangements in place for another external registered nurse to be accessible for the rare occasions when neither of the on-call team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and there is always access to a registered nurse to assist and/or advise when required. Residents and family interviewed supported this. Observations and review of six weeks of rosters confirmed adequate staff cover has been provided, staff are replaced in any unplanned absence and there is registered nurse coverage for 24 hours a day over seven days of each week. There is active recruitment of staff currently underway as of late it has become increasingly difficult to fill unplanned absences. The manager informed that if desperate and no casual person is available, a registered nurse will be asked to take a resident workload. As both the manager and/or clinical coordinator are registered nurses they will undertake registered nurse duties if absolutely necessary. This requirement was not evident in the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Records sighted demonstrated that all registered and enrolled nurses have a current first aid certificate, therefore there is always at least one staff member on duty who has a current first aid certificate. Only registered and enrolled nurses administer medicines, although some senior care staff, including night shift staff, have a competency for second checking of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including registered nurses who administer medicines are competent to perform the function they manage and follow best practice guidelines addressing a previous required improvement.  All RNs are syringe driver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for pro re nata (PRN) medicines were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addressing a previous required improvement. The service operates with an approved food safety plan and registration issued by the Invercargill City Council in March 2017.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service employs a physiotherapist to ensure mobility and functioning is a priority. The GP interviewed, verified that medical input is sought in a timely manner, that medical orders are followed, and care is of a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persons, two assistants and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develop both individual and group activities programmes that are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registered nurse (RN). </w:t>
            </w:r>
          </w:p>
          <w:p w:rsidR="00EB7645" w:rsidRPr="00BE00C7" w:rsidP="00BE00C7">
            <w:pPr>
              <w:pStyle w:val="OutcomeDescription"/>
              <w:spacing w:before="120" w:after="120"/>
              <w:rPr>
                <w:rFonts w:cs="Arial"/>
                <w:b w:val="0"/>
                <w:lang w:eastAsia="en-NZ"/>
              </w:rPr>
            </w:pPr>
            <w:r w:rsidRPr="00BE00C7">
              <w:rPr>
                <w:rFonts w:cs="Arial"/>
                <w:b w:val="0"/>
                <w:lang w:eastAsia="en-NZ"/>
              </w:rPr>
              <w:t>A detailed care plan evaluation occurs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continence and general health.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5 February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as per an interview with a maintenance person, staff reports and observation of the environment.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dedicated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management, the IPC committee and staff.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2018) meet the requirements of the restraint minimisation and safe practice standards and provide guidance on the safe use of both restraints and enablers.  The restraint coordinator, who is also the clinical coordinator, provides support and oversight for enabler and restraint management in the facility and demonstrated a sound understanding of the organisation’s policies, procedures and practice and her role and responsibilities. A restraint approval group is maintained, and reports on the use of enablers are produced for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thirteen residents were identified on a register as using bedrails as an enabler. Their use is being monitored, as is the ability of the residents to agree to their use. There were no residents for whom restraint was being used and the restraint coordinator confirmed there had been no restraints used at Calvary Hospital for more than five years. A fall out chair is used at times for the comfort of a resident with a specific medical condition. The resident agrees to this and restraint is not intended when it is used.</w:t>
            </w:r>
          </w:p>
          <w:p w:rsidR="00EB7645" w:rsidRPr="00BE00C7" w:rsidP="00BE00C7">
            <w:pPr>
              <w:pStyle w:val="OutcomeDescription"/>
              <w:spacing w:before="120" w:after="120"/>
              <w:rPr>
                <w:rFonts w:cs="Arial"/>
                <w:b w:val="0"/>
                <w:lang w:eastAsia="en-NZ"/>
              </w:rPr>
            </w:pPr>
            <w:r w:rsidRPr="00BE00C7">
              <w:rPr>
                <w:rFonts w:cs="Arial"/>
                <w:b w:val="0"/>
                <w:lang w:eastAsia="en-NZ"/>
              </w:rPr>
              <w:t>Staff were clear about the difference between a restraint and an enabler, knew about the voluntary nature of an enabler and records showed restraint training is ongoing.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Calvary Hospital Southland Limited - Calvary Hospital</w:t>
    </w:r>
    <w:bookmarkEnd w:id="58"/>
    <w:r>
      <w:rPr>
        <w:rFonts w:cs="Arial"/>
        <w:sz w:val="16"/>
        <w:szCs w:val="20"/>
      </w:rPr>
      <w:tab/>
      <w:t xml:space="preserve">Date of Audit: </w:t>
    </w:r>
    <w:bookmarkStart w:id="59" w:name="AuditStartDate1"/>
    <w:r>
      <w:rPr>
        <w:rFonts w:cs="Arial"/>
        <w:sz w:val="16"/>
        <w:szCs w:val="20"/>
      </w:rPr>
      <w:t>26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