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Rossendale Dementia Care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Rossendale Dementia Care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January 2019</w:t>
      </w:r>
      <w:bookmarkEnd w:id="7"/>
      <w:r w:rsidRPr="009418D4">
        <w:rPr>
          <w:rFonts w:cs="Arial"/>
        </w:rPr>
        <w:tab/>
        <w:t xml:space="preserve">End date: </w:t>
      </w:r>
      <w:bookmarkStart w:id="8" w:name="AuditEndDate"/>
      <w:r w:rsidR="00A4268A">
        <w:rPr>
          <w:rFonts w:cs="Arial"/>
        </w:rPr>
        <w:t>11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Rossendale Home and Hospital is part of the Bupa group.  The service provides psychogeriatric and dementia level care for up to 100 residents.  On the day of audit there were a total of 98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family, management, staff and a general practitioner.</w:t>
      </w:r>
    </w:p>
    <w:p w:rsidRPr="00A4268A">
      <w:pPr>
        <w:spacing w:before="240" w:line="276" w:lineRule="auto"/>
        <w:rPr>
          <w:rFonts w:eastAsia="Calibri"/>
        </w:rPr>
      </w:pPr>
      <w:r w:rsidRPr="00A4268A">
        <w:rPr>
          <w:rFonts w:eastAsia="Calibri"/>
        </w:rPr>
        <w:t>The care home manager has been in the role for 16 months at Rossendale and is supported by a clinical manager (registered nurse), the Bupa regional operations manager and quality and risk team.</w:t>
      </w:r>
    </w:p>
    <w:p w:rsidRPr="00A4268A">
      <w:pPr>
        <w:spacing w:before="240" w:line="276" w:lineRule="auto"/>
        <w:rPr>
          <w:rFonts w:eastAsia="Calibri"/>
        </w:rPr>
      </w:pPr>
      <w:r w:rsidRPr="00A4268A">
        <w:rPr>
          <w:rFonts w:eastAsia="Calibri"/>
        </w:rPr>
        <w:t>There are well developed systems, processes, policies and procedures that are structured to provide appropriate quality care for the residents.  Implementation is supported through the Bupa quality and risk management programme that is individualised to Rossendale.  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This certification audit identified that improvements are required around completion of dementia standards and hot water temperatures.</w:t>
      </w:r>
    </w:p>
    <w:p w:rsidRPr="00A4268A">
      <w:pPr>
        <w:spacing w:before="240" w:line="276" w:lineRule="auto"/>
        <w:rPr>
          <w:rFonts w:eastAsia="Calibri"/>
        </w:rPr>
      </w:pPr>
      <w:r w:rsidRPr="00A4268A">
        <w:rPr>
          <w:rFonts w:eastAsia="Calibri"/>
        </w:rPr>
        <w:t>A continuous improvement rating has been awarded around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Rossendale Dementia Care Home &amp; Hospital endeavours to ensure that care is provided in a way that focuses on the individual, values residents' quality of life and maintains their privacy and choice.  Staff demonstrate an understanding of residents' rights and obligations.  Residents receive services in a manner that considers their dignity, privacy and independence.  Written information regarding consumers’ rights is provided to families.  Care plans accommodate the choices of residents and/or their family/whānau.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nurse manager are responsible for the day-to-day operations of the facility.  Rossendale Dementia Care Home &amp; Hospital is implementing the organisational quality and risk management system that supports the provision of clinical care.  Key components of the quality management system link to a number of meetings including quality improvement meetings.  Goals are documented for the service with evidence of annual reviews.  An annual relative satisfaction survey is completed and there are regular relative newsletters.  Interviews with staff and review of meeting minutes/quality action forms/toolbox talks, demonstrate a culture of quality improvements.  Human resources are managed in accordance with good employment practice.  An orientation programme is in place for new staff.  There is an in-service training calendar in place.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therapists and activities assistants implement the activity programme to meet the individual needs, preferences and abilities of the residents.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Families commented positively on the meals.  There are snacks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  Cleaning and laundry services are monitored through the internal auditing system.  Laundry is completed on-site.</w:t>
      </w:r>
    </w:p>
    <w:p w:rsidRPr="00A4268A">
      <w:pPr>
        <w:spacing w:before="240" w:line="276" w:lineRule="auto"/>
        <w:rPr>
          <w:rFonts w:eastAsia="Calibri"/>
        </w:rPr>
      </w:pPr>
      <w:r w:rsidRPr="00A4268A">
        <w:rPr>
          <w:rFonts w:eastAsia="Calibri"/>
        </w:rPr>
        <w:t xml:space="preserve">Chemicals are stored safely throughout the facility.  Appropriate policies and product safety charts are available.  The building holds a current warrant of fitness. </w:t>
      </w:r>
    </w:p>
    <w:p w:rsidRPr="00A4268A">
      <w:pPr>
        <w:spacing w:before="240" w:line="276" w:lineRule="auto"/>
        <w:rPr>
          <w:rFonts w:eastAsia="Calibri"/>
        </w:rPr>
      </w:pPr>
      <w:r w:rsidRPr="00A4268A">
        <w:rPr>
          <w:rFonts w:eastAsia="Calibri"/>
        </w:rPr>
        <w:t xml:space="preserve">There are shared and single rooms within the facility.  Resident rooms are spacious with an adequate number of shower and toilet facilities for the number of residents.  There is sufficient space to allow the movement of residents around the facility using mobility aids.  There is a spacious lounge and dining area and smaller lounges available in each unit within the facility, for quieter activities or visitors.  Fixtures, fittings and flooring are appropriate and toilet/shower facilities are constructed for ease of cleaning.  The internal areas are ventilated and heated.  There is wheelchair access to all areas.  The outdoor areas are safe, easily accessible and secure. </w:t>
      </w:r>
    </w:p>
    <w:p w:rsidRPr="00A4268A">
      <w:pPr>
        <w:spacing w:before="240" w:line="276" w:lineRule="auto"/>
        <w:rPr>
          <w:rFonts w:eastAsia="Calibri"/>
        </w:rPr>
      </w:pPr>
      <w:r w:rsidRPr="00A4268A">
        <w:rPr>
          <w:rFonts w:eastAsia="Calibri"/>
        </w:rPr>
        <w:t>There is an emergency management plan in place and adequate civil defence supplies in an event of an emergency.  There is an approved evacuation scheme and emergency supplies.  There is a staff member on duty on each shift who holds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are provided with training in restraint minimisation and challenging behaviour management.  On the day of audit, there were 18 residents using restraint and no residents with an enabler.  Restraint management processes are being implemented.  The service continues to actively minimise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role is shared by three registered nurses who together are responsible for coordinating/providing education and training for staff.  The infection control manual outlines a comprehensive range of policies, standards and guidelines, training and education of staff and scope of the programme.  The infection control officers use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7"/>
        <w:gridCol w:w="1280"/>
        <w:gridCol w:w="92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21 care staff (10 caregivers, 8 registered nurses (RN), and 3 diversional therapists) reflected their understanding of the key principles of the Code.  Staff receive training about the Code which was last completed in April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The service is committed to meeting the requirements of the Code.  Completed resuscitation treatment plan forms were evident on all resident files reviewed.  There is evidence of general practitioner (GP) and family discussion regarding a clinically ‘not indicated’ resuscitation status.  General consent forms were evident on files reviewed.  Discussions with ten caregivers and eight registered nurses (RNs) confirmed that they were familiar with the requirements to obtain informed consent for personal care, entering rooms and so on.  Enduring power of attorney evidence is sought prior to admission and activation documentation is obtained and both are filed with the admission agreements.  Family interviewed confirmed that were fully informed where consent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support services is included in the resident information pack that is provided to EPOA and family on admission.  Pamphlets on advocacy services are available at the entrance to the facility.  Interviews with relatives confirmed their understanding of the availability of advocacy support services.  Interviews with management and staff confirmed that practice is consistent with policy and staff were aware of how to support relatives to access an advocate when needed.  The resident files include information on residents’ family/whanau/EPOA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Relative meetings are three-monthly.  </w:t>
            </w:r>
          </w:p>
          <w:p w:rsidR="00EB7645" w:rsidRPr="00BE00C7" w:rsidP="00BE00C7">
            <w:pPr>
              <w:pStyle w:val="OutcomeDescription"/>
              <w:spacing w:before="120" w:after="120"/>
              <w:rPr>
                <w:rFonts w:cs="Arial"/>
                <w:b w:val="0"/>
                <w:lang w:eastAsia="en-NZ"/>
              </w:rPr>
            </w:pPr>
            <w:r w:rsidRPr="00BE00C7">
              <w:rPr>
                <w:rFonts w:cs="Arial"/>
                <w:b w:val="0"/>
                <w:lang w:eastAsia="en-NZ"/>
              </w:rPr>
              <w:t>In 2018, the service achieved two “Big Bus Trip” wherein almost half of their residents went to Raglan for picnics and this encouraged residents to be part of the wider community.  They have added activities to encourage residents to feel part of the community like “Adopt a grandparent” and invited school children to visit, learn about people living with dementia.  The service encourages visits on Saturday and have designed family orientated activities on weekends.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 register.  Documentation including follow-up letters and resolution, demonstrates that complaints are being managed in accordance with guidelines set by the HDC.  Discussions with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Seventeen complaints received since the last audit (eight in 2017 and nine in 2018) were reviewed with evidence of appropriate follow-up actions taken.  Documentation reviewed reflected the service is proactive in addressing complaints.  Feedback is provided to staff and toolbox talks were completed where required.  One of the complaints from 2018 was made through the local District Health Board (DHB) in August 2018.  The DHB requested follow up against aspects of the complaint around the admission assessment procedure, clinical review around short-term care plans (STCP), communication and observations, and staff training around de-escalation.  A corrective action plan is being implemented with investigation and follow up on the areas of improvement required.  This complaint is now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made through the HDC in October 2014 has been investigated, followed up and signed off.  There was no further action required as confirmed in an HDC letter dated 24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residents EPOA and family.  This information is also available at reception.  The care home manager, the clinical nurse manager and RNs discuss aspects of the Code with residents and their family on admission.  Discussions relating to the Code are held during the monthly resident and three-monthly family meetings.  Nine relatives (eight PG, including one in the high dependency unit and one dementia care) interviewed, reported that the residents’ rights are being upheld by the service.  Interviews with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Interviews with relatives were positive about the service in relation to their family members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which was last completed in September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eight residents whom identify as Māori living at the facility.  The files of the three residents identified as Maori were reviewed and included a specific Māori health care plan.  Māori consultation is available through local Iwi links.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family and/or the resident’s representative.  Cultural values and beliefs are discussed and incorporated into the residents’ care plans.  Family assist to complete 'the map of life' of the resident which provides a breakdown of their life and interests/beliefs.  All relatives interviewed confirmed they were involved in developing the resident’s plan of care, which included the identification of individual values and beliefs.  Regular newsletters are provided to relatives.  Six monthly multi-disciplinary team meetings are scheduled and occur to assess if needs are being met.  Family are invited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Staffing policies include pre-employment, and the requirement to attend orientation and ongoing in-service training.  Policies and procedures have been reviewed and updated at organisational level and are available to staff.  There are clear ethical and professional standards and boundaries within job descriptions.  Registered nursing staff are available 24 hours a day, 7 days a week.  A main general practitioner (GP) and nurse practitioner each visit the facility two days a week or as needed.  The GP is available after-hours 24/7.  The GP reviews residents identified as stable every three months, with more frequent visits for those residents whose condition is not deemed stable.  Physiotherapy services are provided on-site, two days a month.  The service has links with the local community.  Relatives interviewed spoke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framework that is being implemented at Rossendale.  The framework includes standardised policies; an education programme including core competencies for different staff groups; an internal audit and corrective action planning process; benchmarking against similar services types; centralised management of complaints and internal investigation following category one incidents; and surveys (resident/relative and staff).  There is a prescribed meeting schedule for services that is also seen to be implemented at Rossendale.</w:t>
            </w:r>
          </w:p>
          <w:p w:rsidR="00EB7645" w:rsidRPr="00BE00C7" w:rsidP="00BE00C7">
            <w:pPr>
              <w:pStyle w:val="OutcomeDescription"/>
              <w:spacing w:before="120" w:after="120"/>
              <w:rPr>
                <w:rFonts w:cs="Arial"/>
                <w:b w:val="0"/>
                <w:lang w:eastAsia="en-NZ"/>
              </w:rPr>
            </w:pPr>
            <w:r w:rsidRPr="00BE00C7">
              <w:rPr>
                <w:rFonts w:cs="Arial"/>
                <w:b w:val="0"/>
                <w:lang w:eastAsia="en-NZ"/>
              </w:rPr>
              <w:t>In 2018 the service introduced Education Professional Training Days.  Two dedicated days were introduced for core in-services and orientation day for new staff.  There were also special sessions that included mental health issues.  The annual education programme prescribed for the organisation is being implemented at Rossendale.  Where attendance at a prescribed in-service is below expected either a ‘tool box’ session or additional in-service is provided.  Tool box sessions are a regular part of Rossendale practice and are held in response to either an issue or a planned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Rossendale is the first Bupa Care Home who have undergone MAPA (Management of Actual or Potential Aggression) training.  To date, 10 staff had been trained and training will continue in 2019.  This project is recognised to be helpful for staff to ensure that they can avoid and be able to handle crisis situations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Nightshifts caregivers are all involved with the Darmouth project.  As part of the project staff study, research and learn to understand residents at night time; how to give them good rest and understand their night routine through lights, environment, and lifestyle.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supported by the Bupa dementia care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that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residents (and staff) from a variety of cultures and family interviewed were particularly complimentary of how staff are able to communicate with residents where English is a second language.  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Family/EPOA are informed prior to entry of the scope of services and any items they have to pay that is not covered by the agreement.  The information pack is available in large print.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Families/EPOA’s of non-subsidised residents are advised in writing of their eligibility and the process for their family member to become a subsidised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Rossendale Dementia Care Home &amp; Hospital is part of the Bupa group of aged care facilities.  The facility provides psychogeriatric (PG) and dementia level care for up to 100 residents.  There were 98 residents at the time of audit including, 11 residents in the 11-bed Totara dementia unit (under the ARRC contract) and 87 residents across the 89 PG level beds (under the Hospital Specialist Services ARHSS contract).  The 87 residents at PG level care included 10 residents in the 10-bed high dependency unit, 29 residents in the 29-bed Kowhai PG unit, 18 residents in the 19-bed Rimu PG unit and 30 residents in the 31-bed Pohutakawa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Rossendale Dementia Care Home &amp; Hospital are part of the Northern 2 Bupa region and the managers from this region meet bi-monthly to review and discuss the organisational goals and their progress towards these.  The operations manager teleconferences weekly and completes a report to the director of care homes and rehabilitation.  A quarterly report is prepared by the care home manager and sent to the Bupa continuous service improvements (CSI) team on the progress and actions that have been taken to achieve the Rossendale Dementia Care Home &amp; Hospital quality goals.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for sixteen months and has five years’ experience in care home/clinical management roles with Bupa.  She is supported by a clinical nurse manager who has been in the position four and a half years.  The operations manager supports the management team.  Staff spoke positively about the support/direction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nurse manager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who is employed full time, steps in when the care home manager is absent.  The operations manager visits regularly and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established.  Interviews with the managers and staff reflect their understanding of the quality and risk management systems.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An annual internal audit schedule was sighted for the service, with evidence of internal audits occurring as per the audit schedule.  Corrective actions have been implemented when service shortfalls are identified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Riskman has been implemented by Bupa which is an electronic data collecting system.  All incidents, complaints, infections, pressure injuries, falls, incidents are completed on the online system.  The monthly collation of quality data includes (but is not limited to): resident falls; infection rates; complaints received; restraint use; pressure injuries; wounds; and medication errors.  The monthly quality data and trends analysis is provided to staff on the noticeboard in the staffroom.  Interviews with staff and review of meeting minutes/quality action forms/toolbox talks, demonstrate a culture of quality improvements.  Falls prevention strategies are in place and are discussed at the bi-monthly falls focus group meeting.  Falls prevention initiatives in place include: intentional rounding; sensor mats; post falls reviews; physiotherapist assessment and recommendation; and individual resident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completed and the 2018 (August) results demonstrated an 84% overall satisfaction outcome for the relatives.  Corrective actions were established in areas identified around room refurbishments, garden improvements, food services and activities.  The health and safety programme includes specific and measurable health and safety goals that are regularly reviewed.  There is a health and safety officer (household manager) who is supported by health and safety representatives.  The Health and Safety committee team meet three-monthly.  Staff undergo annual health and safety training which begins during their orientation.  Contractors are required to be inducted into the facility and sign a health and safety information sheet when this has been completed.  The hazard register is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operations manager.  Actions are then followed up and managed.  Fifteen accident/incident forms were reviewed for December 2018.  Each event involving a resident reflected a clinical assessment and follow up by a RN.  Neurological observation forms were documented and completed for six unwitnessed falls with a potential head injury.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There have been two section 31 notifications made since the last audit for two pressure injuries, one stage III in August 2018 and one unstageable in January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Eleven staff files (one clinical nurse manager, two RNs, six caregivers, one kitchen manager and one diversional therapist) reviewed, evidenced implementation of the recruitment process, employment contracts, completed orientation, and annual performance appraisals.  A register of practising certificates is maintained.  The service has an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and training schedule has been completed for 2018 and is in place for 2019.  The service provides regular in-service education and dedicated sessions have been provided that address all required areas.  As part of the corrective action plan being implemented around a complaint made through the DHB, de-escalation training has been organised for February 2019 (link 1.1.13).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 RNs at Rossendale Dementia Care Home &amp; Hospital and 8 have completed interRAI training.  Eighty nine percent of the total staff have attained at least one Bupa Personal Best certificate.  A total of 78% of caregivers have attained a national certificate qualification.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72 caregivers that work across the PG and dementia units, 56 have completed the required dementia standards.  Three of the sixteen caregivers are in process of completing their dementia standards and eight have commenced work within the last 18 months.  However, there was no documentation to reflect that five caregivers who have been employed over 18-months had completed dementia standards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and clinical nurse manager who both work full time from Monday to Friday.  The care home manager and clinical nurse manager share the on-call duties on a fortnightly basis.  Registered nurse cover is provided 24 hours a day, 7 days a week.  Separate laundry and cleaning staff are employed seven days a week.  Interviews with staff and family members identify that staffing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PG beds are split into four separate units (Kowhai, Pohutakawa, Rimu units and the high dependency unit).  The splitting of their largest community into two smaller PG communities and re-naming the units is a change since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Kowhai PG unit has 29 of 29 residents.  There is one RN on duty on the morning, afternoon and night shifts.  The RN’s are supported by five caregivers on duty on the morning shift, five (four long and one short) on the afternoon shift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Pohutakawa PG unit has 30 of 31 residents.  There is one RN (unit coordinator) on duty on the morning and a RN on afternoon shifts and one on the night shift (shared with the Rimu unit).  The RN’s are supported by five (three long and two short) caregivers on duty on the morning and afternoon shifts and three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Rimu PG unit has 18 of 19 residents.  There is one RN on duty on the morning and afternoon shifts and one on the night shift (shared with the Pohutakawa unit).  The RN’s are supported by three caregivers (two long and one short) on duty on the morning and afternoon shifts and three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high dependency PG unit has 10 of 10 residents.  There is one RN on duty on the morning and afternoon shifts and one on the night shift.  The RN’s are supported by two caregivers on duty on the morning shift, two caregivers (one long and one short)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Totara dementia unit has 11 of 11 residents.  There is one enrolled nurse (unit coordinator) on duty on the morning shift.  The EN is supported by one caregiver on duty on the morning shift and two caregivers (one long and one short) on the afternoon shift and one caregiver on the night shift.  The clinical nurse manager provides RN hours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  Individual resident files demonstrate service integration and are legible, dated and signed.  There is an allied health section that contains general practitioner notes and the notes of allied health professionals and specialists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This includes information around specialist services of a psychogeriatric unit.  All resident files reviewed included a NASC approval for the level of care.  Information received from the referring agency and the family are used to develop a plan of care prior to the admission of the resident.  A communication book is used to ensure all staff are aware of new residents’ initial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reviewed meet the requirements of the ARCC and ARHSS.  Exclusions from the service are included in the admission agreement.  All ten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using the yellow envelope system.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which comply with current legislation.  Medicines are stored in accordance with legislation and current guidelines.  Medications are pre-packed in blister packs and stored in a locked trolley in the treatment room in each unit.  Medicine administration practice complied with the medicine management policy in the medicine round observed.  Medications are administered by registered nurses in the psychogeriatric and high dependency wing, and enrolled nurses and medicine competent care staff in the dementia wing.  Staff that administer medications complete a medicine competency and medication management annually.  Registered nurses undertake extra training to administer syringe drivers.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prescribed on the electronic medicine management system in accordance with legislative prescribing requirements for all regular and ‘as required’ medicines.  Medications are checked on admission and on arrival to the facility and discrepancies are reported to the pharmacy.  The service does not have standing orders and verbal orders are rarely used as an electronic system is in place.  There was no expired stock on-site on day of audit.  Eye drops are dated once opened.  Medication fridge temperatures are checked daily and temperatures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Twenty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working Monday to Friday who is supported by three trained cooks.  There is one kitchen hand per shift.  All staff have food hygiene certificates.  The head cook oversees the procurement of the food and management of the kitchen.  There is a well-equipped kitchen and all meals are cooked on-site.  Meals are served directly from the kitchen to the dining room in one PG wing and transported to the other wings in hot boxes.  Special equipment such as lipped plates are available.  On the day of audit, meals were observed to be hot and well-presented.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There is an implemented food control plan current until September 2019.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and displayed.  The four-weekly menu cycle is approved by the Bupa dietitian.  Snacks are available at all times in all areas.</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spoke positively about the availability of snacks at all times and the variety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The Bupa assessment booklet is completed and the interRAI assessment tool is implemented.  InterRAI assessments had been completed for all long-term residents whose files were sampled.  Care plans sampled were developed on the basis of these assessments.  Challenging behaviour assessments were completed for residents with behaviours that challenge that linked to specific dementia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and provide details to guide care.  Short-term care plans (STCP) are in use for changes in health status.  Relatives interviewed stated that they were involved in the care planning process.  There was evidence of service integration with documented input from a range of specialist care professionals including the physiotherapist, podiatrist, wound care specialist and mental health care team for older people.  The management of behaviours that challenge was documented in the files reviewed including triggers to behaviour and interventions to manage outbursts.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advised that the care plans were easy to follow and assisted them when caring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consultation.  Staff state that they notify family members about any changes in their relative’s health status.  All care plans sampled had interventions documented to meet the needs of the resident.  Care plans have been updated as residents’ needs changed.  The ten resident files sampled all included management of nutrition and monitoring for weight loss.  A communication book is used to record residents’ appointments, family and medical health practitioner contact, assessments and clinical follow up, and copies of recent ISBAR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entered into Riskman and written in the progress notes.  Neurological observations are completed for unwitnessed falls or falls where residents hit their heads.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Photos of wound progress are taken.  There are currently six stage-I facility acquired pressure injuries (four to one resident and two others) one stage-II and one unstageable pressure injuries.  There are 22 skin tears across the facility affecting eight residents.  All wound documentation was reviewed and noted that the wounds were improving.  There is evidence of referral to the wound nurse specialist for a current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food and fluid intake; restraint checks; half-hourly checks; and wounds.  Behaviour charts are available for any residents that exhibit challenging behaviours.  There is liaison with the mental health for older person’s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qualified diversional therapists and one activities assistant who each work 37.5 hours a week Monday to Sunday.  There are two casual activities assistants and one part-time van driver, who support the activities team.  The four full-time staff in the activities team are split between dementia and PG units, ensuring there is full-time cover in the PG unit over the weekends.  On the days of audit, residents were observed enjoying a fish and chip lunch, music therapy and pet day.  Other activities include a move with music programme, ball games, beauty therapy, cooking, kinetic sand activities and many more.  The Rossendale activities team share initiatives with other Bupa and local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unit lounges.  Residents have the choice of a variety of activities in which to participate, and every effort is made to ensure activities are meaningful and tailored to residents’ needs.  This is particularly noticeable in the psychogeriatric units where residents’ concentration spans are often short.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are interdenominational church services held monthly.  Catholic Church members come in to give communion.  There are van outings three times weekly.  There are regular entertainers visiting the facility.  Special events like birthdays, Easter, Mothers’ Day, Anzac Day and the Melbourne Cup are celebrated.  Māori staff bring their children for Kapa Haka events and to celebrate Materiki.</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Resident/family meetings are held three to four-monthly.   Activities plans cover 24 hours and include specific interventions tailored to the resident’s individual interests.  The programme observed was appropriate for older people with mental health conditions and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ten long-term care plans reviewed had been evaluated by the RNs six-monthly or when changes to care occurs.  Short-term care plans for short-term needs are evaluated at regular intervals and signed off as resolved or added to the long-term care plan as an ongoing problem.  Activities plans are in place for each of the residents, and these are also evaluated six-monthly.  The multidisciplinary review involves the RN, GP and resident/family if they wish to attend.  There are three-monthly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speech language therapist and dietitian.  Discussion with the registered nurses us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goggles and face shields are available for staff.  Spills kits are available in all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There is a maintenance person on-site for 40 hours a week and on call as required.  He is supported by a part-time maintenance worker three days a week and contractors are used when required.  Repairs and maintenance requests are entered into a log book that is checked daily and signed off as repairs are addressed (sighted).  There is a 52-week planned maintenance programme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two levels with all resident units’ downstairs and offices upstairs.  Fire equipment is checked by an external provider.  Electrical equipment has been tested and tagged.  The hoist and scales are checked annually.  Hot water temperatures have been monitored randomly in resident areas, however, temperatures have regularly exceeded acceptable values.  The communal lounges, hallways and bedrooms have vinyl flooring as do all utility areas.  All corridors have safety rails and promote safe mobility with the use of mobility aids.  Residents were observed moving freely around the areas with mobility aids where required.  The external areas and gardens were well maintained.  All outdoor areas have seating and shade and the psychogeriatric and dementia outdoor areas are safely fenced.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have adequate equipment to safely deliver care for all levels of care.</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 manager stated, they have refurbished some bedrooms and divided their biggest community unit into two units.  They continue to refurbish bedrooms in all units (communities) as they become vacant.  Several of their gardens have been landscaped and this is an ongoing project.  They have dedicated a little children playground for visiting mokos/ grandchildren etc.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nineteen double rooms across the three PG units.  All bedrooms have hand basins.  There are adequate communal toilets/showers available.  There is appropriate signage with easy clean flooring and fixtures.  Privacy locks indicate whether the toilet/shower is vacant or in use.  There are privacy signs on all shower/toilet doors.  There are communal toilets near the lounge, dining and activity areas.  Toilet/shower facilities are easy to clean.  There is ample space in toilet and shower areas to accommodate shower chairs and in larger ones, a hoist if appropriate.  Nine relatives interviewed report that they are happy that privacy of their family member is maintained, including in two shared resident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each room to allow care to be provided and for the safe use of mobility equipment, shower chairs and hoists.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spacious central lounge and dining room in all units (communities) with each having a quiet/whānau room.  Smaller lounges are available for small group or individual activities or for visitors.  Tea and coffee making facilities are available.  All communal areas are accessible and accommodate the equipment required for the residents.  Residents are able to move freely, and furniture is well arranged to facilitate this.  Hallways are wide and enable residents to wander safely within their unit.  The dining room and lounges accommodate specialised lounge chairs and space is arranged to allow both individual and group activities to occur.  All units have outdoor areas with easy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done on-site in a well-equipped laundry.  The laundry has a defined dirty and clean area with separate exit and entry doors.  There are dedicated laundry staff who work shifts.  Personal protective equipment is available in the laundry.  There is a laundry and cleaning manual.  Cleaning and laundry services are monitored through the internal auditing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equipment was attended at all times or locked away.  All chemicals on each of the cleaner’s trolley were labelled.  Staff are observed to be wearing appropriate protective wear.  There are four sluice room for the disposal of soiled water or waste and the sluicing of soiled linen if required.  The sluice rooms and the laundry are locked with a keypad when not in use.  Cleaning schedules are maintained.  Cleaners have attended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are happy with the laundry and cleaning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emergency/disaster management plan is in place to guide staff in managing emergencies and disasters.  Emergencies, first aid and CPR are included in the mandatory in-service programme.  All registered nurses hold a current first aid certificate.  There is an approved fire evacuation plan dated 19 February 1999.  Fire evacuation drills take place every six months, with the last fire drill occurring on 27 November 2018.  Smoke alarms, sprinkler system and exit signs are in place.  The service has alternative gas facilities (two BBQs, portable gas cooker and gas hobs in the kitchen) for cooking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There is a battery backup system in place for emergency lighting.  Emergency supplies are available in all units (wheelie bins) and are checked annually.  The emergency supply wheelie bins also include resident care plan information and name bands.  Emergency food supplies sufficient for three days are kept in the kitchen.  Extra blankets, torches and batteries are available.  There is sufficient water stored (water tank and bottled water) to ensure for three litres per resident for seven days.  There are call bells in the residents’ rooms, and lounge/dining room areas.  The facility is secured at night.  The service utilises security cameras in hallways.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an outdoor smoking area where one smoker is supervised.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 scope of the infection control programme policy and infection control programme description is available.  The infection control officer role is shared by three RN’s.  There is a job description for the infection control (IC) officer and clearly defined guidelines.  There is an established and implemented infection control programme that is linked into the risk management system.  The committee and the governing body are responsible for the development of the infection control programme and its review.  The IC programme is reviewed annually at head office.  Annual quality and infection control goals are set at the beginning of the year.  There are quarterly infection control meetings that combine with the health and safety meetings.  Monthly reports are provided for quality and staff meetings which all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links with the GPs, local laboratory and the infection control and public health departments at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Each of the three-infection control (IC) officers have completed external infection control education.  The infection control team is representative of the facility.  They meet to discuss infection rates, education and internal audit outcomes.  The facility also has access to an infection control nurse specialist, public health, Bug Control, GPs and expertise within the Bupa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part of staff orientation and induction.  Hand washing facilities are available throughout the facility and alcohol hand gel is freely available.  The facility has adequate signage at the entrance asking visitors not to enter if they have contracted or have been in contact with infectious diseases.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officers supported by the clinical manager who have all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visitors that is appropriate to their needs and this was documented in medical records.  Education around infection prevention and control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officers use the information obtained through surveillance to determine infection control activities, resources and education needs within the facility.  Infections are included on a monthly register and a monthly report is completed by the clinical manager with input from the infection control officers.  There are standard definitions of infections in place appropriate to the complexity of service provided.  Infection control data is collated monthly.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discussed at the staff meetings.  The infection control programme is linked with the quality management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which reviews restraint practices.  The Quality Committee is also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nineteen residents in the psychogeriatric unit requiring the use of a restraint and there are no residents requiring the use of an enabler.  Restraints in use include six bedrails and thirteen with a lapbelt.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 use is recorded on a restraint register.  Files for five residents with restraint were reviewed.  Assessments, consents and monitoring is documented.  All files evidence that a documented one to two-monthly review of restraint has been conducted.  The restraint standards are being implemented and implementation is reviewed through internal audits, facility restraint meetings, regional restraint meetings and at an organisational level.  The service implemented a quality improvement plan to reduce restraint by 10% for 2018 (link 2.5).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The service has a restraint coordinator position description.  Assessment and approval processes for restraint interventions include the restraint coordinator, clinical manager, RNs, medical practitioner and resident or family representative.  Restraint use and review is conducted at monthly restraint meetings and reported to the quality team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interventions.  These are undertaken by suitably qualified and skilled staff in partnership with the family/whānau.  The restraint coordinator, clinical manager, RNs, the resident and/or their representative and a medical practitioner are involved in the assessment and consent process.  Assessments and consent forms are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only put in place where it is clinically indicated, justified and approval processes are followed.  There is an assessment form/process that has been documented for all restraint files reviewed.  The restraint coordinator was interviewed.  The five files reviewed have a completed assessment form and a care plan that reflects risk.  Monitoring forms are present in the files reviewed.  Bed rail covers are provided.  Consent forms detailing the reason and type of restraint are completed.  In resident files reviewed, appropriate documentation has been completed.  The service has a restraint and enablers register, which is updated each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evaluation of restraint every three months.  In the five restraint files reviewed, evaluations have been completed with the resident, family/whānau, restraint coordinator and medical practitioner.  Restraint practices are reviewed on a formal basis every month by the facility restraint coordinator at restraint meetings, quality and staff meetings.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one to two-monthly or sooner if a need is identified.  Reviews are completed by the restraint coordinator and/or clinical manager.  The restraint coordinator’s monthly reports evidence reporting at the restraint meetings and RN/clinical meetings.  Restraint use is also reviewed as part of the quality meeting.  The service is active in minimising restraint.  In December 2017, there were 32 residents using restraint in the form of 21 lap belts and 11 bedrails.  The service implemented a quality improvement plan to reduce restraint by 10% for 2018.  Rossendale is commended in achieving an overall reduction from December 2017 to December 2018 of 40%.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6"/>
        <w:gridCol w:w="1280"/>
        <w:gridCol w:w="6735"/>
        <w:gridCol w:w="2287"/>
        <w:gridCol w:w="17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education and training schedule has been completed for 2018 and is in place for 2019.  A total of 78% of caregivers have attained a national certificate qualification.  There are 72 caregivers that work in the PG and dementia units and 56 have completed the required dementia standards.  However, there was no documentation to reflect that five caregivers who have been employed over 18-months had completed dementia standards training.  Advised that they have completed the standards but no certificates had been provided to evidence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documentation to reflect that five caregivers who have been employed over 18-months had completed dementia standards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documentation reflects that all caregivers that work in the PG and dementia units have completed the required dementia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taken regularly in random rooms in each wing.  Not all temperatures have been documented at below 45 degrees.  A corrective action plan was documented on the day which included a check of all individual resident room temperatures.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Over the previous three months, several recordings in different areas have been documented between 45 and 55 degrees.  The service contacted a plumber to address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hot water temperatures in resident areas are maintained below 45 degrees.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62"/>
        <w:gridCol w:w="1280"/>
        <w:gridCol w:w="1692"/>
        <w:gridCol w:w="60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active in minimising restraint.  In December 2017, there were 32 residents using restraint in the form of 21 lap belts and 11 bedrails.  By the end of 2018, the service had been successful in reducing restraint to 12 lap belts and 6 bed rails and achieving an overall reduction of over 40%.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a quality improvement plan in February 2018 to reduce restraint by 10% for 2018 and to continuously reduce the use of restraint at Rossendale.  The plan to achieve this involved three actions.  Staff education, trialling residents without restraint and review of all incidents that may have been caused by restraint.  Further to this plan, a corrective action plan was implemented in August following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 use on new admissions was discontinued and a short-term care plan developed to ensure the residents safety during the trial.  Meetings were held with all qualified staff to review assessment and behaviour management strategies for residents presenting with challenging behaviour.  As a result, current residents using restraint were identified as suitable for a trail without either their lap belt or bed rail.  Restraint education incorporating behaviour management in-services were scheduled monthly and continued until all care staff and registered nurses had attended.  Meetings were held with individual families to advise the risks of restraint and discuss options and proposed trails of reducing restraint.  Interviews with clinical staff identified that restraint was used as a last resort and all staff worked together to identify and reduce possible reasons for the behaviours.  A number of RN’s discussed specific instances where identification of the cause of the behaviour was established.  Interventions were implemented, and restraint was no longer required.  </w:t>
            </w:r>
          </w:p>
          <w:p w:rsidR="00EB7645" w:rsidRPr="00BE00C7" w:rsidP="00BE00C7">
            <w:pPr>
              <w:pStyle w:val="OutcomeDescription"/>
              <w:spacing w:before="120" w:after="120"/>
              <w:rPr>
                <w:rFonts w:cs="Arial"/>
                <w:b w:val="0"/>
                <w:lang w:eastAsia="en-NZ"/>
              </w:rPr>
            </w:pPr>
            <w:r w:rsidRPr="00BE00C7">
              <w:rPr>
                <w:rFonts w:cs="Arial"/>
                <w:b w:val="0"/>
                <w:lang w:eastAsia="en-NZ"/>
              </w:rPr>
              <w:t>By the end of 2018, the service had been successful in reducing restraint to 12 lap belts and 6 bed rails and achieving an overall reduction of over 40%.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Rossendale Dementia Care Home &amp; Hospital</w:t>
    </w:r>
    <w:bookmarkEnd w:id="58"/>
    <w:r>
      <w:rPr>
        <w:rFonts w:cs="Arial"/>
        <w:sz w:val="16"/>
        <w:szCs w:val="20"/>
      </w:rPr>
      <w:tab/>
      <w:t xml:space="preserve">Date of Audit: </w:t>
    </w:r>
    <w:bookmarkStart w:id="59" w:name="AuditStartDate1"/>
    <w:r>
      <w:rPr>
        <w:rFonts w:cs="Arial"/>
        <w:sz w:val="16"/>
        <w:szCs w:val="20"/>
      </w:rPr>
      <w:t>10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