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Castlewood Nursing Home Limited - Castlewood Nursing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Castlewood Nursing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Castlewood Nursing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January 2019</w:t>
      </w:r>
      <w:bookmarkEnd w:id="7"/>
      <w:r w:rsidRPr="009418D4">
        <w:rPr>
          <w:rFonts w:cs="Arial"/>
        </w:rPr>
        <w:tab/>
        <w:t xml:space="preserve">End date: </w:t>
      </w:r>
      <w:bookmarkStart w:id="8" w:name="AuditEndDate"/>
      <w:r w:rsidR="00A4268A">
        <w:rPr>
          <w:rFonts w:cs="Arial"/>
        </w:rPr>
        <w:t>24 January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Castlewood Nursing Home provides rest home level care for up to 24 residents. Occupancy on the first day of audit was at 17residents. </w:t>
      </w:r>
    </w:p>
    <w:p w:rsidRPr="00A4268A">
      <w:pPr>
        <w:spacing w:before="240" w:line="276" w:lineRule="auto"/>
        <w:rPr>
          <w:rFonts w:eastAsia="Calibri"/>
        </w:rPr>
      </w:pPr>
      <w:r w:rsidRPr="00A4268A">
        <w:rPr>
          <w:rFonts w:eastAsia="Calibri"/>
        </w:rPr>
        <w:t xml:space="preserve">This surveillance audit was conducted against the relevant Health and Disability Services Standards and the provider’s contract with the district health board. </w:t>
      </w:r>
    </w:p>
    <w:p w:rsidRPr="00A4268A">
      <w:pPr>
        <w:spacing w:before="240" w:line="276" w:lineRule="auto"/>
        <w:rPr>
          <w:rFonts w:eastAsia="Calibri"/>
        </w:rPr>
      </w:pPr>
      <w:r w:rsidRPr="00A4268A">
        <w:rPr>
          <w:rFonts w:eastAsia="Calibri"/>
        </w:rPr>
        <w:t>The audit process included the review of policies, procedures, residents and staff files, and observations and interviews with residents, family, management, general practitioner and staff.</w:t>
      </w:r>
    </w:p>
    <w:p w:rsidRPr="00A4268A">
      <w:pPr>
        <w:spacing w:before="240" w:line="276" w:lineRule="auto"/>
        <w:rPr>
          <w:rFonts w:eastAsia="Calibri"/>
        </w:rPr>
      </w:pPr>
      <w:r w:rsidRPr="00A4268A">
        <w:rPr>
          <w:rFonts w:eastAsia="Calibri"/>
        </w:rPr>
        <w:t>Family and residents interviewed spoke positively about the care provided. There were 12 areas identified as requiring improvement at the last certification audit. Two improvements relating to governance, six relating to quality and risk management systems, two relating to human resource management and one relating to service provider availability. These were implemented. There is one previous requirement for improvement relating to corrective action plans which remains open.</w:t>
      </w:r>
    </w:p>
    <w:p w:rsidRPr="00A4268A">
      <w:pPr>
        <w:spacing w:before="240" w:line="276" w:lineRule="auto"/>
        <w:rPr>
          <w:rFonts w:eastAsia="Calibri"/>
        </w:rPr>
      </w:pPr>
      <w:r w:rsidRPr="00A4268A">
        <w:rPr>
          <w:rFonts w:eastAsia="Calibri"/>
        </w:rPr>
        <w:t>There are two new areas identified as requiring improvement relating to meeting frequency and minutes to be aligned with the meetings policy and performance reviews to be completed in a timely manner.</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resident rights, access to advocacy services and how to lodge a complaint is available to residents and their family. Staff are informed of the Health and Disability Commissioner's Code of Health and Disability Services Consumers' Rights, the complaints process and the Nationwide Health and Disability Advocacy Service. </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Staff ensure that residents are informed and have choices relating to the care they receive. Linkages with family and the community are encouraged and maintained. The service has a documented and implemented complaints management system. The clinical nurse manager is responsible for management of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organisation's mission statement and vision are documented. Castlewood Nursing Home is governed by the owner. The clinical nurse manager is responsible for the overall management of the facility and is supported by the registered nurse and the owner. The clinical nurse manager and the registered nurse are suitably qualified </w:t>
      </w:r>
    </w:p>
    <w:p w:rsidRPr="00A4268A">
      <w:pPr>
        <w:spacing w:before="240" w:line="276" w:lineRule="auto"/>
        <w:rPr>
          <w:rFonts w:eastAsia="Calibri"/>
        </w:rPr>
      </w:pPr>
      <w:r w:rsidRPr="00A4268A">
        <w:rPr>
          <w:rFonts w:eastAsia="Calibri"/>
        </w:rPr>
        <w:t xml:space="preserve">Quality and risk performance is monitored and reported to the owner. The registered nurse collects and evaluates data and monitors key components of clinical care. Results are shared with staff. </w:t>
      </w:r>
    </w:p>
    <w:p w:rsidRPr="00A4268A">
      <w:pPr>
        <w:spacing w:before="240" w:line="276" w:lineRule="auto"/>
        <w:rPr>
          <w:rFonts w:eastAsia="Calibri"/>
        </w:rPr>
      </w:pPr>
      <w:r w:rsidRPr="00A4268A">
        <w:rPr>
          <w:rFonts w:eastAsia="Calibri"/>
        </w:rPr>
        <w:t xml:space="preserve">There are processes in place for incident/accident management to record and report all adverse, unplanned or untoward events. Adverse events are documented and discussed with residents and/or their family. The clinical nurse manager understands their statutory obligations regarding essential notification. </w:t>
      </w:r>
    </w:p>
    <w:p w:rsidRPr="00A4268A">
      <w:pPr>
        <w:spacing w:before="240" w:line="276" w:lineRule="auto"/>
        <w:rPr>
          <w:rFonts w:eastAsia="Calibri"/>
        </w:rPr>
      </w:pPr>
      <w:r w:rsidRPr="00A4268A">
        <w:rPr>
          <w:rFonts w:eastAsia="Calibri"/>
        </w:rPr>
        <w:t>Orientation and regular training and education is provided. Staff confirmed they receive training.</w:t>
      </w:r>
    </w:p>
    <w:p w:rsidRPr="00A4268A">
      <w:pPr>
        <w:spacing w:before="240" w:line="276" w:lineRule="auto"/>
        <w:rPr>
          <w:rFonts w:eastAsia="Calibri"/>
        </w:rPr>
      </w:pPr>
      <w:r w:rsidRPr="00A4268A">
        <w:rPr>
          <w:rFonts w:eastAsia="Calibri"/>
        </w:rPr>
        <w:t xml:space="preserve">Staffing levels meet occupancy and acuity levels and residents state they have adequate access to staff when needed. Duty rosters sighted confirm that there is adequate staff available and staff confirmed they are aware of the process to assure safe staffing afterhours.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services from suitably qualified and experienced staff. The residents’ files reviewed demonstrated the initial care plans were conducted within the required timeframes.</w:t>
      </w:r>
    </w:p>
    <w:p w:rsidRPr="00A4268A" w:rsidP="00621629">
      <w:pPr>
        <w:spacing w:before="240" w:line="276" w:lineRule="auto"/>
        <w:rPr>
          <w:rFonts w:eastAsia="Calibri"/>
        </w:rPr>
      </w:pPr>
      <w:r w:rsidRPr="00A4268A">
        <w:rPr>
          <w:rFonts w:eastAsia="Calibri"/>
        </w:rPr>
        <w:t>Care plan evaluations are documented, resident-focused and indicate progress towards meeting the desired outcomes. Where an acute problem occurs a short-term care plan is completed. Residents and family members have an opportunity to contribute to assessments, care planning and evaluations of care.</w:t>
      </w:r>
    </w:p>
    <w:p w:rsidRPr="00A4268A" w:rsidP="00621629">
      <w:pPr>
        <w:spacing w:before="240" w:line="276" w:lineRule="auto"/>
        <w:rPr>
          <w:rFonts w:eastAsia="Calibri"/>
        </w:rPr>
      </w:pPr>
      <w:r w:rsidRPr="00A4268A">
        <w:rPr>
          <w:rFonts w:eastAsia="Calibri"/>
        </w:rPr>
        <w:t xml:space="preserve">Activities are planned and the activities programme includes a wide range of activities and involvement with the wider community.   </w:t>
      </w:r>
    </w:p>
    <w:p w:rsidRPr="00A4268A" w:rsidP="00621629">
      <w:pPr>
        <w:spacing w:before="240" w:line="276" w:lineRule="auto"/>
        <w:rPr>
          <w:rFonts w:eastAsia="Calibri"/>
        </w:rPr>
      </w:pPr>
      <w:r w:rsidRPr="00A4268A">
        <w:rPr>
          <w:rFonts w:eastAsia="Calibri"/>
        </w:rPr>
        <w:t xml:space="preserve">The medicines management system is documented and implemented to provide safe processes for prescribing, administration and medication reconciliation, dispensing, storage and disposal of medicines. Staff responsible for medicines management complete annual medication competencies. </w:t>
      </w:r>
    </w:p>
    <w:p w:rsidRPr="00A4268A" w:rsidP="00621629">
      <w:pPr>
        <w:spacing w:before="240" w:line="276" w:lineRule="auto"/>
        <w:rPr>
          <w:rFonts w:eastAsia="Calibri"/>
        </w:rPr>
      </w:pPr>
      <w:r w:rsidRPr="00A4268A">
        <w:rPr>
          <w:rFonts w:eastAsia="Calibri"/>
        </w:rPr>
        <w:t>Food and nutritional needs of residents are provided in line with recognised nutritional guidelines. There is a central kitchen and on-site staff that provide the food service. The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There have been no building modifications since the last audit.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documented policies and procedures for restraint minimisation and safe practice. Staff interviewed confirmed that enabler use is voluntary. There were no residents using restraint or enablers at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undertaken monthly. Results of surveillance are analysed to assist in achieving infection reduction. The infection surveillance results are reported to staff and management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91"/>
        <w:gridCol w:w="1280"/>
        <w:gridCol w:w="98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complaints policy and procedures are in line with the Health and Disability Commissioner’s Code of Health and Disability Consumers’ Rights (the Code) and include timeframes for responding to a complaint. Complaint forms are available at the entrance. A complaints register is in place and the register includes: the date the complaint is received; the source of the complaint; a description of the complaint; and the date the complaint is resolved. </w:t>
            </w:r>
          </w:p>
          <w:p w:rsidR="00EB7645" w:rsidRPr="00BE00C7" w:rsidP="00BE00C7">
            <w:pPr>
              <w:pStyle w:val="OutcomeDescription"/>
              <w:spacing w:before="120" w:after="120"/>
              <w:rPr>
                <w:rFonts w:cs="Arial"/>
                <w:b w:val="0"/>
                <w:lang w:eastAsia="en-NZ"/>
              </w:rPr>
            </w:pPr>
            <w:r w:rsidRPr="00BE00C7">
              <w:rPr>
                <w:rFonts w:cs="Arial"/>
                <w:b w:val="0"/>
                <w:lang w:eastAsia="en-NZ"/>
              </w:rPr>
              <w:t>Evidence relating to each logged complaint is held in the complaints folder and register. Complaints reviewed indicated complaints are investigated promptly and issues are resolved in a timely manner. Staff, residents and family confirmed they are aware of the complaints process. Residents and family stated that these are dealt with as soon as they are identified. The clinical nurse manager is responsible for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or any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receive information available in the form of brochures and information leaflets. This information is provided on enquiry, prior to admission. Resident meetings are held bi-monthly and there is the opportunity for residents to provide feedback at these meetings. There is evidence that resident feedback is acted upon and residents updated at subsequent meetings.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an implemented open disclosure policy that defines the principles of open disclosure. Review of residents’ clinical files evidenced timely and open communication with residents and family members. The residents' files reviewed provided evidence that communication with family members is documented in the resident’s progress notes. Interpreter services can be accessed through Southern District Health Board and the process is described in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Castlewood Nursing Home has a documented mission statement in the business plan. The business plan includes documented responsibilities and performance measures for monitoring and review. The previous requirement for improvement relating to a planned, coordinated approach to services, including key performance indicators, being reflected in governance documents has been closed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(CNM) is a registered nurse (RN) and responsible for the overall management of the facility. The CMN reports to the owner who lives on site. The CNM attends training opportunities at the DHB and has been in this position for 18 months having previously worked in the service as the RN. There is a signed contract and job description in their staff file (refer to 1.2.7.3). The CNM and the RN job share clinical responsibilities. The RN has been in their role less than a year. Both the CNM and RN had current practising certificates and have previous experience in caring for older people. The previous requirement for improvement for the organisation to be managed by a suitably qualified person has been closed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meetings which include clinical, quality and risk management, management and staff meetings (refer to 1.2.3.8).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Castlewood Nursing Home has contracts with the Southland District Heath Board for rest home services and aged related residential respite care. The facility can provide care for up to 24 residents requiring rest home level of care, with 17 rest home residents in the service on the days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newly implemented quality and risk management system provided evidence that the CNM and staff understand the systems and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policies and procedures to guide service delivery which are aligned with good practice. The policies and procedures meet current legislative, health and disability standards or contractual requirements. An abuse and neglect prevention/management policy and an interpreter policy are now in place. The previous requirement for improvement related to policies has been implemented. Staff were able to demonstrate their understanding and knowledge of policies. There is a formal process in place for document control. Documents are reviewed, up to date and available to staff. The previous requirement for improvement has been closed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of complaints and review of incidents and accidents with monthly analysis of data, completed by the RN and reported to the CNM. This information explicitly links to the quality management system. Quality improvement data is collected, analysed, and evaluated and the results communicated to staff. The previous requirement for improvement to link key components of service delivery to the quality and risk framework has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incidents, accidents and complaints being managed in a timely manner with relevant corrective actions reflected in the residents’ files where applicable. A current organisational audit schedule was in place. There was evidence of nursing audits activity occurring. The internal audit system measures achievement against the quality and risk management plan and the previous requirement for improvement has been closed out.  </w:t>
            </w:r>
          </w:p>
          <w:p w:rsidR="00EB7645" w:rsidRPr="00BE00C7" w:rsidP="00BE00C7">
            <w:pPr>
              <w:pStyle w:val="OutcomeDescription"/>
              <w:spacing w:before="120" w:after="120"/>
              <w:rPr>
                <w:rFonts w:cs="Arial"/>
                <w:b w:val="0"/>
                <w:lang w:eastAsia="en-NZ"/>
              </w:rPr>
            </w:pPr>
            <w:r w:rsidRPr="00BE00C7">
              <w:rPr>
                <w:rFonts w:cs="Arial"/>
                <w:b w:val="0"/>
                <w:lang w:eastAsia="en-NZ"/>
              </w:rPr>
              <w:t>There are two monthly residents’ meetings. Meeting minutes record quality improvements and evidence that families are invited to attend. The service implements staff, quality and other meetings with documented meeting minutes. However, the meeting types and frequency of meetings are not consistently aligned with policy.</w:t>
            </w:r>
          </w:p>
          <w:p w:rsidR="00EB7645" w:rsidRPr="00BE00C7" w:rsidP="00BE00C7">
            <w:pPr>
              <w:pStyle w:val="OutcomeDescription"/>
              <w:spacing w:before="120" w:after="120"/>
              <w:rPr>
                <w:rFonts w:cs="Arial"/>
                <w:b w:val="0"/>
                <w:lang w:eastAsia="en-NZ"/>
              </w:rPr>
            </w:pPr>
            <w:r w:rsidRPr="00BE00C7">
              <w:rPr>
                <w:rFonts w:cs="Arial"/>
                <w:b w:val="0"/>
                <w:lang w:eastAsia="en-NZ"/>
              </w:rPr>
              <w:t>The requirement for the service to ensure corrective action plans are developed and closed out, remains open as the corrective action processes to identify, implement and document corrective actions arising from meeting minutes are not fully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processes to ensure monitoring and management of risk were implemented, this included a new risk register and new policies for the management of risk. The previous requirement for improvement has been closed out.  </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has been closed as there is overarching monitoring and reporting at management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CNM is aware of situations in which the service is required to report and notify statutory authorities, including unexpected deaths, police attending the facility, sentinel events, infectious disease outbreaks and changes in key management roles. Evidence was sighted confirming that the Ministry of Health had been notified of the CNM appointment.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review of documentation showed that staff document adverse, unplanned or untoward events on an accident/incident forms. Incident and accident records are signed off by the CNM. There is a process which is implemented for neurological observations to be completed for possible and actual head injuries; such as un-observed falls, when required. There have been no deaths referred to the coroner.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Castlewood Nursing Home has documented human resource management policies and procedures. The skills and knowledge required for each position is documented in job descriptions including a job description for the CNM.  Staff files reviewed, along with employment agreements included: reference checks; copies of current practicing certificates; police vetting; and completed orientations. The previous requirement for improvement related to verification of annual practising certificates and a job description for the CNM have been implemented. However, not all staff had timely performance reviews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scheduled monthly in-service training as part of the monthly staff meetings as evidenced in meeting notes. There was documentation to verify the content of the in-service training programme and attendance records are maintained. The previous requirement for improvement relating to staff education is now implemented. Both the CNM and the RN completed interRAI assessments training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new staff are required to demonstrate competency on a number of tasks, including personal cares. The staff orientation covers the essential components of the service provided. Caregivers confirmed their involvement in supporting and buddying new staff. Annual competencies are required to be completed by clinical staff. There was evidence in the clinical staff files reviewed of competencies completed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implemented staffing policy and rationale reflecting good practice. Staffing levels are reviewed for anticipated workloads, identified numbers and appropriate skill mix. Staffing levels are adjusted as required due to changes in acuity and the number of residents. Rosters sighted reflected staffing levels meet resident acuity and bed occupancy. On review of rosters, sufficient cover was evidenced. </w:t>
            </w:r>
          </w:p>
          <w:p w:rsidR="00EB7645" w:rsidRPr="00BE00C7" w:rsidP="00BE00C7">
            <w:pPr>
              <w:pStyle w:val="OutcomeDescription"/>
              <w:spacing w:before="120" w:after="120"/>
              <w:rPr>
                <w:rFonts w:cs="Arial"/>
                <w:b w:val="0"/>
                <w:lang w:eastAsia="en-NZ"/>
              </w:rPr>
            </w:pPr>
            <w:r w:rsidRPr="00BE00C7">
              <w:rPr>
                <w:rFonts w:cs="Arial"/>
                <w:b w:val="0"/>
                <w:lang w:eastAsia="en-NZ"/>
              </w:rPr>
              <w:t>The CNM and RN provide cover across 40 hours per week. Monday to Friday the service has a RN with two caregivers in the morning and two caregivers on duty at night. The caregivers have access to the RN or the CNM over weekends, should they need clinical input into care. There are 18 staff, including the CNM, RN, caregivers, an activities coordinator and maintenance and household staff. There is a written process for on-call management. When the activities coordinator is not working or on leave there is provision for caregivers to provide activities to residents. The service now has a process in place formalising safe staffing management including skill mix; acuity levels; escalation planning; on-call arrangements and leave cover for the activities coordinator.</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relating to service having clearly documented process for determining levels and skill mix in order to provide safe service delivery has been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policy is current and meets legislative criteria. Medication areas evidence an appropriate, secure medicine dispensing system which is free from heat, moisture and light, with medicines stored in original dispensed packs. Medications are supplied to the facility in a pre-packaged format from a contracted pharmacy. The RNs check medications against the prescriptions when delivered from the pharmacy. There is a process for checking and managing expired medicines. All medications sighted were within current use by dates. Weekly checks and six monthly physical stocktakes of medications are conducted. The weekly records of temperature for the medicine fridge confirm these are within the recommended temperature range. </w:t>
            </w:r>
          </w:p>
          <w:p w:rsidR="00EB7645" w:rsidRPr="00BE00C7" w:rsidP="00BE00C7">
            <w:pPr>
              <w:pStyle w:val="OutcomeDescription"/>
              <w:spacing w:before="120" w:after="120"/>
              <w:rPr>
                <w:rFonts w:cs="Arial"/>
                <w:b w:val="0"/>
                <w:lang w:eastAsia="en-NZ"/>
              </w:rPr>
            </w:pPr>
            <w:r w:rsidRPr="00BE00C7">
              <w:rPr>
                <w:rFonts w:cs="Arial"/>
                <w:b w:val="0"/>
                <w:lang w:eastAsia="en-NZ"/>
              </w:rPr>
              <w:t>Senior caregivers and two RNs authorised to administer medicines have current competencies. The medication round observed evidenced safe practice. Administration records are maintained, as are specimen signatures. Staff education in medicine management is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standing orders sheet in each individual resident’s medication record which are reviewed by their GP annually. There were no residents self-administering medication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by an experienced cook Monday to Friday. The CNM and a relief cook provide cover on the weekends. The staff working in the kitchen have completed relevant food safety training. Food procurement; production; preparation; storage; transportation; delivery and disposal complies with current legislation and guidelines. There is a current food control plan which had been verified in January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fluid and nutritional requirements of the residents is provided in line with recognised nutritional guidelines for older people. There is a four weekly winter and summer menu. The menu had been reviewed by a dietitian in June 2018. A dietary assessment is undertaken for each resident on admission to the facility and a dietary profile developed. The personal food preferences of the residents, special diets and modified nutritional requirements are known to kitchen staff and accommodated in the daily meal plan. Special equipment to meet residents’ nutritional needs, where required, was sighted. There is sufficient staff on duty in the dining rooms at meal times to ensure assistance is available to residents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satisfaction with meals was verified by resident and family interviews and resident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LTCPs reviewed evidence detailed interventions based on individual assessed needs and desired outcomes or goals of residents. The GP documentation and records were current. In interviews, residents and family confirmed current care and treatment needs are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communication is recorded in the residents’ files. Nursing progress notes and observation charts are maintained. In interviews, staff confirmed they are familiar with the current interventions of the resident they were allocated. </w:t>
            </w:r>
          </w:p>
          <w:p w:rsidR="00EB7645" w:rsidRPr="00BE00C7" w:rsidP="00BE00C7">
            <w:pPr>
              <w:pStyle w:val="OutcomeDescription"/>
              <w:spacing w:before="120" w:after="120"/>
              <w:rPr>
                <w:rFonts w:cs="Arial"/>
                <w:b w:val="0"/>
                <w:lang w:eastAsia="en-NZ"/>
              </w:rPr>
            </w:pPr>
            <w:r w:rsidRPr="00BE00C7">
              <w:rPr>
                <w:rFonts w:cs="Arial"/>
                <w:b w:val="0"/>
                <w:lang w:eastAsia="en-NZ"/>
              </w:rPr>
              <w:t>Observation evidenced there were sufficient supplies of equipment available that complied with best practice guidelines and met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 monthly LTCPs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residents’ assessment data reviewed. The activities reflected residents’ goals, ordinary patterns of life and include community activities. Individual and group activities, and regular events are offered. The activities programme is discussed at the residents’ meetings and meeting minutes indicated residents’ input is sought and responded to.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residents’ progress notes.  If there are any changes noted, it is recorded in the handover record, communication diary and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LTCP evaluations, following reassessment, including interRAI assessment, to measure the degree of a resident’s response in relation to desired outcomes and goals, occur every six months or as residents need change. Care plan evaluations are conducted by the RN, with input from residents, family and caregivers. There was evidence of allied health care staff input when this was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a STCP is initiated for short-term concerns such as wounds and infections. Short-term care plans are reviewed daily, weekly or fortnightly as indicated by the degree of risk noted during the assessment process. If the problem is ongoing, the LTCP is updated to reflect the problem. Interviews verified residents and family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a visible location at the entrance to the facility. There have been no structural alterations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surveillance policy identifies the requirements around the surveillance of infections. The type of surveillance undertaken is appropriate to the size and complexity of this service. Infection logs are maintained for infection events. Monthly surveillance analysis is completed and reported at monthly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evidenced the residents who were diagnosed with an infection had STCPs in place. </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CNM, RN, verbal handovers, STCPs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RN confirmed there have been no outbreaks in the facility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 CNM is the restraint coordinator. Staff interviewed understood the restraint/enabler process. Staff reported, if used, enablers are voluntary and are the least restrictive option. Review of training records evidenced education was provided.</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no residents were using restraints or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63"/>
        <w:gridCol w:w="1280"/>
        <w:gridCol w:w="6782"/>
        <w:gridCol w:w="1689"/>
        <w:gridCol w:w="15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developed and closed out for incident and accident processes. There are monthly staff meetings with meeting minutes and evidence of corrective actions being documented. There are quality and other meetings occurring. Meeting minutes for these meetings are documented, however, the type of meetings and timeframes for meetings are not aligned with the guidelines in the meeting minutes policy. </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identified in meeting minutes (except for staff meetings) do not consistently document the required corrective action, person responsible for the implementation of change timeframes for implementation or the sign-off of corrective actions.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type of meetings and the timeframes for having the meetings do not align with the meetings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Corrective action plans resulting from meetings are not always documented and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 type of meeting and frequency of meetings aligns with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corrective actions plans resulting from meetings are documented and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processes in place to ensure the appointment of appropriate staff occurs. However, three of five staff folders reviewed showed that three staff members did not have performance reviews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Performance reviews are not consistently completed for all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have performance reviews completed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Castlewood Nursing Home Limited - Castlewood Nursing Home</w:t>
    </w:r>
    <w:bookmarkEnd w:id="58"/>
    <w:r>
      <w:rPr>
        <w:rFonts w:cs="Arial"/>
        <w:sz w:val="16"/>
        <w:szCs w:val="20"/>
      </w:rPr>
      <w:tab/>
      <w:t xml:space="preserve">Date of Audit: </w:t>
    </w:r>
    <w:bookmarkStart w:id="59" w:name="AuditStartDate1"/>
    <w:r>
      <w:rPr>
        <w:rFonts w:cs="Arial"/>
        <w:sz w:val="16"/>
        <w:szCs w:val="20"/>
      </w:rPr>
      <w:t>23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