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Cornwall Park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Cornwall Park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December 2018</w:t>
      </w:r>
      <w:bookmarkEnd w:id="7"/>
      <w:r w:rsidRPr="009418D4">
        <w:rPr>
          <w:rFonts w:cs="Arial"/>
        </w:rPr>
        <w:tab/>
        <w:t xml:space="preserve">End date: </w:t>
      </w:r>
      <w:bookmarkStart w:id="8" w:name="AuditEndDate"/>
      <w:r w:rsidR="00A4268A">
        <w:rPr>
          <w:rFonts w:cs="Arial"/>
        </w:rPr>
        <w:t>18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Cornwall Park Hospital provides psychogeriatric level care for up to 39 residents.  There were 35 residents in the facility on the day of audit.  All residents were under the specialist hospitals contract (ARHSS).</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service is managed by a care home manager (non-clinical) who has had been in the role for two years.  The care home manager is supported by a clinical manager (RN) who oversees clinical care.  The clinical manager has been in the role for six months.  The management team is supported by the wider Bupa management team including a regional operations manager.</w:t>
      </w:r>
    </w:p>
    <w:p w:rsidRPr="00A4268A">
      <w:pPr>
        <w:spacing w:before="240" w:line="276" w:lineRule="auto"/>
        <w:rPr>
          <w:rFonts w:eastAsia="Calibri"/>
        </w:rPr>
      </w:pPr>
      <w:r w:rsidRPr="00A4268A">
        <w:rPr>
          <w:rFonts w:eastAsia="Calibri"/>
        </w:rPr>
        <w:t>The service has an established quality and risk management system.  Residents and families interviewed commented positively on the standard of care and services provided.</w:t>
      </w:r>
    </w:p>
    <w:p w:rsidRPr="00A4268A">
      <w:pPr>
        <w:spacing w:before="240" w:line="276" w:lineRule="auto"/>
        <w:rPr>
          <w:rFonts w:eastAsia="Calibri"/>
        </w:rPr>
      </w:pPr>
      <w:r w:rsidRPr="00A4268A">
        <w:rPr>
          <w:rFonts w:eastAsia="Calibri"/>
        </w:rPr>
        <w:t>Two of two shortfalls identified as part of the previous audit have been addressed.  These were around dementia training for staff and care plan documentation.</w:t>
      </w:r>
    </w:p>
    <w:p w:rsidRPr="00A4268A">
      <w:pPr>
        <w:spacing w:before="240" w:line="276" w:lineRule="auto"/>
        <w:rPr>
          <w:rFonts w:eastAsia="Calibri"/>
        </w:rPr>
      </w:pPr>
      <w:r w:rsidRPr="00A4268A">
        <w:rPr>
          <w:rFonts w:eastAsia="Calibri"/>
        </w:rPr>
        <w:t>This audit has identified two areas requiring improvement around: the use of covert medications and environmental upkeep of the kitchen.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care home manager has been in the role for two years.  She is supported by a clinical manager, registered nurses, caregivers and support staff.  There is a business plan with goals for the service that has been regularly reviewed.  Cornwall Park Hospital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comprehensive information booklet is available for residents/families at entry which includes information on the service philosophy, services provided and practices relevant to a psychogeriatric secure unit.  The care home manager takes primary responsibility for managing entry to the service with assistance from the clinical manager.  Initial assessments are completed by a registered nurse, including interRAI assessments.  The registered nurses complete care plans and evaluations.  </w:t>
      </w:r>
    </w:p>
    <w:p w:rsidRPr="00A4268A" w:rsidP="00621629">
      <w:pPr>
        <w:spacing w:before="240" w:line="276" w:lineRule="auto"/>
        <w:rPr>
          <w:rFonts w:eastAsia="Calibri"/>
        </w:rPr>
      </w:pPr>
      <w:r w:rsidRPr="00A4268A">
        <w:rPr>
          <w:rFonts w:eastAsia="Calibri"/>
        </w:rPr>
        <w:t xml:space="preserve">Care plans reviewed were based on the interRAI outcomes and other assessments.  Families interviewed confirmed they were involved in the care planning and review process.  There is at least a three-monthly resident review by the medical practitioner and psychogeriatric community team as required.  </w:t>
      </w:r>
    </w:p>
    <w:p w:rsidRPr="00A4268A" w:rsidP="00621629">
      <w:pPr>
        <w:spacing w:before="240" w:line="276" w:lineRule="auto"/>
        <w:rPr>
          <w:rFonts w:eastAsia="Calibri"/>
        </w:rPr>
      </w:pPr>
      <w:r w:rsidRPr="00A4268A">
        <w:rPr>
          <w:rFonts w:eastAsia="Calibri"/>
        </w:rPr>
        <w:t>There is a group activity programme.  Individual activity plans have also been developed in consultation with family.  The activity programme includes meaningful activities that meet the recreational needs and preferences of the psychogeriatric residents.</w:t>
      </w:r>
    </w:p>
    <w:p w:rsidRPr="00A4268A" w:rsidP="00621629">
      <w:pPr>
        <w:spacing w:before="240" w:line="276" w:lineRule="auto"/>
        <w:rPr>
          <w:rFonts w:eastAsia="Calibri"/>
        </w:rPr>
      </w:pPr>
      <w:r w:rsidRPr="00A4268A">
        <w:rPr>
          <w:rFonts w:eastAsia="Calibri"/>
        </w:rPr>
        <w:t>Medicines are stored appropriately in line with legislation and guidelines.  General practitioners review residents at least three-monthly or more frequently if needed.  There are regular visits and support provided by the community mental health team and psychogeriatrician.</w:t>
      </w:r>
    </w:p>
    <w:p w:rsidRPr="00A4268A" w:rsidP="00621629">
      <w:pPr>
        <w:spacing w:before="240" w:line="276" w:lineRule="auto"/>
        <w:rPr>
          <w:rFonts w:eastAsia="Calibri"/>
        </w:rPr>
      </w:pPr>
      <w:r w:rsidRPr="00A4268A">
        <w:rPr>
          <w:rFonts w:eastAsia="Calibri"/>
        </w:rPr>
        <w:t xml:space="preserve">All meals are prepared on-site.  Resident’s individual food preferences, dislikes and dietary requirements are met.  Nutritional snacks are available over a 24-hour period.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certificate is posted at the entrance to the facility.  A 52-week planned maintenance schedule is in place that has been maintained.  All medical equipment has been calibrated and checked.  Hot water temperatures are checked in each of the wings and records sighted evidence that temperatures are maintained at no more than 45 degrees Celsius. </w:t>
      </w:r>
    </w:p>
    <w:p w:rsidRPr="00A4268A">
      <w:pPr>
        <w:spacing w:before="240" w:line="276" w:lineRule="auto"/>
        <w:rPr>
          <w:rFonts w:eastAsia="Calibri"/>
        </w:rPr>
      </w:pPr>
      <w:r w:rsidRPr="00A4268A">
        <w:rPr>
          <w:rFonts w:eastAsia="Calibri"/>
        </w:rPr>
        <w:t xml:space="preserve">Internal and external areas are maintained with gardens and outdoor seating and shade available.  The outdoor area is secure with walking paths.  There is wheelchair access to all areas.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are provided with training in restraint minimisation and challenging behaviour management.  On the day of audit there were eleven residents using restraint and no residents with an enabler.  Restraint management processes are being implemented.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03"/>
        <w:gridCol w:w="1280"/>
        <w:gridCol w:w="104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There are complaint forms available.  Information about complaints is provided on admission.  A suggestions box is held at reception.  Interviews with residents and families demonstrates their understanding of the complaints process.  Staff interviewed (four caregivers, one registered nurse, the cook and the maintenance person)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being maintained.  Two complaints have been logged on the Riskman electronic database; both are documented as resolved with appropriate communication with complainants within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relatives confirms that issues are addressed promptly and that they feel comfortable to bring up any concerns.  </w:t>
            </w:r>
          </w:p>
          <w:p w:rsidR="00EB7645" w:rsidRPr="00BE00C7" w:rsidP="00BE00C7">
            <w:pPr>
              <w:pStyle w:val="OutcomeDescription"/>
              <w:spacing w:before="120" w:after="120"/>
              <w:rPr>
                <w:rFonts w:cs="Arial"/>
                <w:b w:val="0"/>
                <w:lang w:eastAsia="en-NZ"/>
              </w:rPr>
            </w:pPr>
            <w:r w:rsidRPr="00BE00C7">
              <w:rPr>
                <w:rFonts w:cs="Arial"/>
                <w:b w:val="0"/>
                <w:lang w:eastAsia="en-NZ"/>
              </w:rPr>
              <w:t>The DHB received a Section 31 notification of a serious event incident that had occurred at Bupa Cornwall Park.  The DHB reviewed the incident and the actions taken by the provider and the issue has been resolved.  Improvements since the incident have included additional gates for the secure gardens and screening for fences.</w:t>
            </w:r>
          </w:p>
          <w:p w:rsidR="00EB7645" w:rsidRPr="00BE00C7" w:rsidP="00BE00C7">
            <w:pPr>
              <w:pStyle w:val="OutcomeDescription"/>
              <w:spacing w:before="120" w:after="120"/>
              <w:rPr>
                <w:rFonts w:cs="Arial"/>
                <w:b w:val="0"/>
                <w:lang w:eastAsia="en-NZ"/>
              </w:rPr>
            </w:pPr>
            <w:r w:rsidRPr="00BE00C7">
              <w:rPr>
                <w:rFonts w:cs="Arial"/>
                <w:b w:val="0"/>
                <w:lang w:eastAsia="en-NZ"/>
              </w:rPr>
              <w:t>Four other section 31 events have been recorded including two pressure injuries, one resident wandering, and one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Three relatives interviewed stated they are notified promptly of any incidents/accidents.  Residents/relatives have the opportunity to feedback on service delivery through annual surveys and open-door communication with management.  A quarterly newsletter is also sent to all families.  Resident and family meetings encourage open discussion around the services provided (meeting minutes sighted).  Accident/incident forms reviewed evidenced relatives are informed of any incidents/accidents.  The admission information includes the use of shared rooms and the special needs of a secure psychogeriatric unit.  Interpreter services are available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Cornwall provides psychogeriatric level care for up to 39 residents.  There were 35 residents in the facility on the day of audit.  All residents were under the specialist hospitals contract (ARHSS).</w:t>
            </w:r>
          </w:p>
          <w:p w:rsidR="00EB7645" w:rsidRPr="00BE00C7" w:rsidP="00BE00C7">
            <w:pPr>
              <w:pStyle w:val="OutcomeDescription"/>
              <w:spacing w:before="120" w:after="120"/>
              <w:rPr>
                <w:rFonts w:cs="Arial"/>
                <w:b w:val="0"/>
                <w:lang w:eastAsia="en-NZ"/>
              </w:rPr>
            </w:pPr>
            <w:r w:rsidRPr="00BE00C7">
              <w:rPr>
                <w:rFonts w:cs="Arial"/>
                <w:b w:val="0"/>
                <w:lang w:eastAsia="en-NZ"/>
              </w:rPr>
              <w:t>There is an overarching Bupa business plan and risk management plan.  Additionally, Bupa Cornwall has developed annual quality and health and safety goals.  Goals are reviewed regularly in the quality meetings and are updated on the goal sheet quarterly (at a minimum).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(non-clinical) who has had been in the role for two years.  The care home manager is supported by a clinical manager (RN) who oversees clinical care.  The clinical manager has been in the role for six months.  The management team is supported by the wider Bupa management team including a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Staff and family interviewed praised the management team and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and staff confirms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In addition to scheduled monthly internal audits, a facility health check is conducted six-monthly by an external Bupa representative.  Data collected (eg, falls, medication errors, wounds, skin tears, pressure injuries, complaints and challenging behaviours) are collated and analysed for each resident involved.  Quality data and results are documented in the quality meetings and communicated to staff in staff meetings.  Corrective actions are implemented where opportunities for improvements are identified.  Areas of non-compliance include a corrective action plan with sign-off by a manager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specific and measurable health and safety goals that are regularly reviewed.  The care home manager is the health and safety officer.  Health and safety meetings are held two-monthly.  Staff undergo annual health and safety training which begins during their orientation.  Contractors are required to be inducted into the facility and sign a health and safety information sheet when this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Strategies are implemented to reduce the number of falls.  The falls are reviewed and discussed in the two-monthly fall focus meetings.  The service has reviewed falls and noted a high number were occurring in the lounge.  A “lounge nurse’ role has been introduced.  This person’s role is to remain in the lounge and assist with the care, activities and supervision of residents in the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at risk of falling have a falls risk assessment completed with strategies implemented to reduce the number of falls.  Caregiver interviews confirms that they are aware of which residents are at risk of falling and that this is discussed during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continue to be undertaken and reported in the ‘Village News’.  Aspects of the survey such as improvements to the resident’s room, food experience and activities have been adopted as quality improvement activities for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documented on the Riskman database and investigated by the clinical manager and/or registered nursing staff, evidenced in all ten accident/incident forms reviewed.  Adverse events are trended and analysed with results communicated to staff.  There is evidence to support actions are undertaken to minimise the number of incidents.  Clinical follow up of residents is conducted by a RN.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care home manager confirms her awareness of the requirement to notify relevant authorities in relation to essential notifications with examples provided.  The DHB received a Section 31 notification of a serious event incident that had occurred at Bupa Cornwall Park.  The DHB reviewed the incident and the actions taken by the provider and the issue has been resolved.  Improvements since the incident have included additional gates for the secure gardens and screening for fences.  Four other section 31 events have been recorded including two pressure injuries, one resident wandering, and one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management policies in place which include the recruitment and staff selection process.  Relevant checks are completed to validate the individual’s qualifications, experience and veracity.  Copies of practising certificates are retained.  Five staff files reviewed (two caregivers, one RN, one kitchen manager and one clinical manager) evidenced that reference checks are completed before employment is offered.  Also sighted were signed employment agreements and job descriptions.  The service has implemented an orientation programme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being implemented includes in-service training, competency assessments, impromptu toolbox talks and study days.</w:t>
            </w:r>
          </w:p>
          <w:p w:rsidR="00EB7645" w:rsidRPr="00BE00C7" w:rsidP="00BE00C7">
            <w:pPr>
              <w:pStyle w:val="OutcomeDescription"/>
              <w:spacing w:before="120" w:after="120"/>
              <w:rPr>
                <w:rFonts w:cs="Arial"/>
                <w:b w:val="0"/>
                <w:lang w:eastAsia="en-NZ"/>
              </w:rPr>
            </w:pPr>
            <w:r w:rsidRPr="00BE00C7">
              <w:rPr>
                <w:rFonts w:cs="Arial"/>
                <w:b w:val="0"/>
                <w:lang w:eastAsia="en-NZ"/>
              </w:rPr>
              <w:t>The kitchen manager has completed a qualification in food safety and food hygiene.  All kitchen staff have completed their food safety training on-site.  Chemical safety training is included in staff orientation and as a regular in-service topic.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seven RNs (including the clinical manager) have completed interRAI training.  The care home manager, clinical manager and staff attend external training including sessions provided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All the staff employed except one who is new, have completed the dementia standards.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Staff rostered on to manage the care requirements of the residents meet contractual requirements.  Both the care home manager and clinical manager work full-time Monday-Friday.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registered nurses (RNs) rostered on duty on the morning and afternoon shifts, seven days per week.  There is one RN rostered on night duty, seven nights per week.  All the registered nurses are first aid competent.</w:t>
            </w:r>
          </w:p>
          <w:p w:rsidR="00EB7645" w:rsidRPr="00BE00C7" w:rsidP="00BE00C7">
            <w:pPr>
              <w:pStyle w:val="OutcomeDescription"/>
              <w:spacing w:before="120" w:after="120"/>
              <w:rPr>
                <w:rFonts w:cs="Arial"/>
                <w:b w:val="0"/>
                <w:lang w:eastAsia="en-NZ"/>
              </w:rPr>
            </w:pPr>
            <w:r w:rsidRPr="00BE00C7">
              <w:rPr>
                <w:rFonts w:cs="Arial"/>
                <w:b w:val="0"/>
                <w:lang w:eastAsia="en-NZ"/>
              </w:rPr>
              <w:t>The RNs on the morning and afternoon shifts are supported by six caregivers who work 0700-1500 hours and four caregivers on the afternoon shift who work 1500- 2300 hours, plus an additional short shift four days a week.</w:t>
            </w:r>
          </w:p>
          <w:p w:rsidR="00EB7645" w:rsidRPr="00BE00C7" w:rsidP="00BE00C7">
            <w:pPr>
              <w:pStyle w:val="OutcomeDescription"/>
              <w:spacing w:before="120" w:after="120"/>
              <w:rPr>
                <w:rFonts w:cs="Arial"/>
                <w:b w:val="0"/>
                <w:lang w:eastAsia="en-NZ"/>
              </w:rPr>
            </w:pPr>
            <w:r w:rsidRPr="00BE00C7">
              <w:rPr>
                <w:rFonts w:cs="Arial"/>
                <w:b w:val="0"/>
                <w:lang w:eastAsia="en-NZ"/>
              </w:rPr>
              <w:t>The RN on night duty is supported by two caregivers who work 2300-0700 hours.</w:t>
            </w:r>
          </w:p>
          <w:p w:rsidR="00EB7645" w:rsidRPr="00BE00C7" w:rsidP="00BE00C7">
            <w:pPr>
              <w:pStyle w:val="OutcomeDescription"/>
              <w:spacing w:before="120" w:after="120"/>
              <w:rPr>
                <w:rFonts w:cs="Arial"/>
                <w:b w:val="0"/>
                <w:lang w:eastAsia="en-NZ"/>
              </w:rPr>
            </w:pPr>
            <w:r w:rsidRPr="00BE00C7">
              <w:rPr>
                <w:rFonts w:cs="Arial"/>
                <w:b w:val="0"/>
                <w:lang w:eastAsia="en-NZ"/>
              </w:rPr>
              <w:t>RN staffing meets contractual requirements for psychogeriatric levels of care.  The clinical manager, along with the care home manager provide after hours on-call cover.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family members identifies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There are policies and procedures in place for safe medicine management that meet legislative requirements.  The service uses an electronic medication system and all medication charts sampled meet legislative prescribing requirements.  The medication charts reviewed identify that the GP has seen and reviewed the resident three-monthly.  There is a Bupa policy regarding covert medication, however the administration of covert medications did not always comply with the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RNs interviewed described their role regarding medication administration.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use of anti-psychotic medication and if required, makes a referral to the psychogeriatrician.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Standing orders are not in use.  There are no residents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temperatures are recorded regularly, and these are within acceptable ranges.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Cornwall are prepared and cooked on-site.  There is a four-weekly seasonal menu with dietitian review and audit of menus.  The menu is adapted to ensure resident’s food preferences are considered.  Finger foods and snacks are available for residents over a 24-hour period.  Meals are prepared in a kitchen adjacent to the main dining room for serving.  The cook and kitchen staff are trained in safe food handling and food safety procedures are adhered to.  Adapted cutlery, sipper cups and lipped plates are available for resident use.  Dietary profiles are completed on admission and likes and dislikes and any changes to dietary needs are communicated to the kitchen via the RNs.  A dietitian is available on request.  Supplements and fortified foods are provided to residents with identified weight loss issues.  The kitchen manager (interviewed) is familiar with all residents’ likes and dislikes and those residents with specific dietary needs.  </w:t>
            </w:r>
          </w:p>
          <w:p w:rsidR="00EB7645" w:rsidRPr="00BE00C7" w:rsidP="00BE00C7">
            <w:pPr>
              <w:pStyle w:val="OutcomeDescription"/>
              <w:spacing w:before="120" w:after="120"/>
              <w:rPr>
                <w:rFonts w:cs="Arial"/>
                <w:b w:val="0"/>
                <w:lang w:eastAsia="en-NZ"/>
              </w:rPr>
            </w:pPr>
            <w:r w:rsidRPr="00BE00C7">
              <w:rPr>
                <w:rFonts w:cs="Arial"/>
                <w:b w:val="0"/>
                <w:lang w:eastAsia="en-NZ"/>
              </w:rPr>
              <w:t>The kitchen environment is worn in places.</w:t>
            </w:r>
          </w:p>
          <w:p w:rsidR="00EB7645" w:rsidRPr="00BE00C7" w:rsidP="00BE00C7">
            <w:pPr>
              <w:pStyle w:val="OutcomeDescription"/>
              <w:spacing w:before="120" w:after="120"/>
              <w:rPr>
                <w:rFonts w:cs="Arial"/>
                <w:b w:val="0"/>
                <w:lang w:eastAsia="en-NZ"/>
              </w:rPr>
            </w:pPr>
            <w:r w:rsidRPr="00BE00C7">
              <w:rPr>
                <w:rFonts w:cs="Arial"/>
                <w:b w:val="0"/>
                <w:lang w:eastAsia="en-NZ"/>
              </w:rPr>
              <w:t>Relatives reported on interview, that there are always snacks, fruit and sandwiches available for residents to eat and that these platters are replenished every two hours by care staff with supplies in the kitchen.  Relatives also report that meals are well presented, and that staff assist those residents who require help with food and fluid intake.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and as part of the service quality initiatives, the service is working on a project to improve the meal experience.  This has included: all serving dishes (such as plates) are now china and all tables are set for meals.  The service has divided meals into two so that resident who require a high amount of assistance with meals are served and assisted first.  This enables the more able resident to relax in a more home like environment and take time over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developed by the RNs in consultation with the resident (as appropriate), family and care staff.  The long-term care plan is developed within three weeks of admission.  The outcomes of interRAI assessments form the basis of the long-term care plan.  Short-term care plans are used for short-term needs.  InterRAI assessment notes provide evidence of family involvement in the assessment and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All five care plans sampled document interventions to meet the residents assessed care needs, identified current abilities, level of independence and specific behavioural management strategies.  The recognition and management of seizures was documented in one care plan and risks and interventions associated with insulin use were documented in another care plan.  This is an improvement from the previous audit.  Staff interviewed report that they find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continue to be completed by the RNs.  When a resident's condition alters, the RN initiates a review and if required, GP or mental health services consultation.  </w:t>
            </w:r>
          </w:p>
          <w:p w:rsidR="00EB7645" w:rsidRPr="00BE00C7" w:rsidP="00BE00C7">
            <w:pPr>
              <w:pStyle w:val="OutcomeDescription"/>
              <w:spacing w:before="120" w:after="120"/>
              <w:rPr>
                <w:rFonts w:cs="Arial"/>
                <w:b w:val="0"/>
                <w:lang w:eastAsia="en-NZ"/>
              </w:rPr>
            </w:pPr>
            <w:r w:rsidRPr="00BE00C7">
              <w:rPr>
                <w:rFonts w:cs="Arial"/>
                <w:b w:val="0"/>
                <w:lang w:eastAsia="en-NZ"/>
              </w:rPr>
              <w:t>All files have at least an initial physiotherapy assessment with ongoing assessments as necessary.  The psychogeriatrician and mental health services are readily available as required.  A dietitian, occupational therapist and speech language therapist visits by referral and a podiatrist visits residents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interviewed stated they are kept informed of the resident’s health status and have the opportunity to meet with the GP or nurse practitioner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the continence products that are required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are available.  Wound management policies and procedures are in place and weights are recorded at least monthly.  The wound register currently includes one grade one pressure injury and four skin tears.  All wound documentation reviewed was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range of monitoring forms available for use and these have been completed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team and activities staff interviewed are able to describe strategies for the provision of a low stimulus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has been in the role since April 2018, she is supported in the role by two other activities coordinators and volunteers.  The activities coordinators have completed the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weekly activities programmes are displayed around the facility on noticeboards.  Residents who do not participate regularly in the group activities, are visited for one-on-one sessions.  All interactions observed on the day of the audit indicated a friendly relationship between residents and the activity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Map of Life developed on admission.  The Map of Life includes previous careers, hobbies, life accomplishments and interests which forms the basis of the activities plan.  The resident files reviewed included a section of the long-term care plan for activities, which has been reviewed six-monthly.  The care plan includes activity over a 24-hour period which can be used to minimise, distract or de-escalate behaviours.  </w:t>
            </w:r>
          </w:p>
          <w:p w:rsidR="00EB7645" w:rsidRPr="00BE00C7" w:rsidP="00BE00C7">
            <w:pPr>
              <w:pStyle w:val="OutcomeDescription"/>
              <w:spacing w:before="120" w:after="120"/>
              <w:rPr>
                <w:rFonts w:cs="Arial"/>
                <w:b w:val="0"/>
                <w:lang w:eastAsia="en-NZ"/>
              </w:rPr>
            </w:pPr>
            <w:r w:rsidRPr="00BE00C7">
              <w:rPr>
                <w:rFonts w:cs="Arial"/>
                <w:b w:val="0"/>
                <w:lang w:eastAsia="en-NZ"/>
              </w:rPr>
              <w:t>Relatives interviewed spoke very positively of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assist with activities over the weekend and evenings and there is a caregiver allocated on each shift to be in the lounge to observe and monitor residents.  Care staff were observed at various times through the day diverting residents from challenging or agitated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and as part of the quality initiatives for the service, new dementia friendly activities have been purchased.  Destination points have been reviewed and changed to make them more meaningful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all initial care plans have been documented and evaluated by the RN within three weeks of admission.  Long-term care plans have been reviewed at least six-monthly or earlier for any health changes.  Evaluation includes documenting progress towards the achievement of the intended goals.  The multidisciplinary review involves the RN, GP, community mental health team (as required), activities staff and family.  The family are invited to attend and/or notified of the outcome.  Ongoing nursing evaluations occur daily/as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certificate is posted at the entrance to the facility.  There is a maintenance person who is also available on call after hours if needed.  A 52-week planned maintenance schedule is in place that has been maintained.</w:t>
            </w:r>
          </w:p>
          <w:p w:rsidR="00EB7645" w:rsidRPr="00BE00C7" w:rsidP="00BE00C7">
            <w:pPr>
              <w:pStyle w:val="OutcomeDescription"/>
              <w:spacing w:before="120" w:after="120"/>
              <w:rPr>
                <w:rFonts w:cs="Arial"/>
                <w:b w:val="0"/>
                <w:lang w:eastAsia="en-NZ"/>
              </w:rPr>
            </w:pPr>
            <w:r w:rsidRPr="00BE00C7">
              <w:rPr>
                <w:rFonts w:cs="Arial"/>
                <w:b w:val="0"/>
                <w:lang w:eastAsia="en-NZ"/>
              </w:rPr>
              <w:t>All medical equipment has been calibrated and checked.  Hot water temperatures are checked in each of the wings and records sighted evidence that temperatures are maintained at no more than 45 degrees Celsius.  All floor areas are vinyl surfaces.  The corridors have hand rails.  Residents were observed moving freely around the areas with mobility aids where required.  The external areas are maintained with gardens and outdoor seating and shade available.  The outdoor area is secure with walking paths.  There is wheelchair access to all areas.  Doors to the outdoor area have a coded keypad access.  The service has a quiet lounge with stable doors.  The lower door can be locked.  Later in the afternoon, immobile residents that require a quieter space are moved into this lounge so as not to be disturbed by wandering and agitated residents.  During this time, the lower stable door is locked, and top half of the door is open, so residents can be sighted easily.  One caregiver is assigned to oversee both lounges at all times.</w:t>
            </w:r>
          </w:p>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and as part of the quality plan, the service has embarked on a process to personalise and improve resident rooms.  This has included wall papering walls and posting up family pictures for residents.  The staff inform that due to some families not being able to visit, these homely touches are improving the lives of the residents in their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  Infections are included on a monthly register and a monthly report is completed by the infection control officer.  There are standard definitions of infections in place appropriate to the complexity of service provided.  Infection control data is collated monthly.  Meeting minutes are made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officer.  Infection control data is collated monthly and discussed at the staff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GPs and geriatrician that advises and provides feedback/information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has been one outbreak reported since the previous audit, all relevant authority were informed including a section 31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regional restraint group at an organisation level, which reviews restraint practices.  There are clear guidelines in the policy to determine what restraint is and what an enabler is.  The restraint policy includes comprehensive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eleven residents requiring the use of a restraint and there are no residents requiring the use of an enabler.  One restraint is for a lap belt and ten for hand holding restraint.  All restraint use is recorded on a restraint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files were reviewed for restraint (one lap belt and one handholding restraint).  Both files included the restraint and risks associated with restraint in the long-term care plan.  A documented three-monthly review of restraint has been conducted.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09"/>
        <w:gridCol w:w="1280"/>
        <w:gridCol w:w="3031"/>
        <w:gridCol w:w="4815"/>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for the use of covert medications.  Not all medications given covertly were according to the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ten medication charts included the direction to crush medication.  This was to ensure the resident took the medication and the medications were given covertly.  There was no documentation to evidence that the family/EPOA had been informed of this.  There was no GP assessment and the long-term care plan did not include the need for covert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use of covert medications is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and regular audits undertaken to ensure that food standards are maintained.  There is a verified food control plan expiring September 2019.  Aspects of the kitchen environment needed repair.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Aspects of the kitchen environment are worn including: a rusty food mixer stand; a rusty tin opener attached to the preparation work top; chipped and peeling formica on the food prep work top; and shelves.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work area is maintained in good repair.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Cornwall Park Hospital</w:t>
    </w:r>
    <w:bookmarkEnd w:id="58"/>
    <w:r>
      <w:rPr>
        <w:rFonts w:cs="Arial"/>
        <w:sz w:val="16"/>
        <w:szCs w:val="20"/>
      </w:rPr>
      <w:tab/>
      <w:t xml:space="preserve">Date of Audit: </w:t>
    </w:r>
    <w:bookmarkStart w:id="59" w:name="AuditStartDate1"/>
    <w:r>
      <w:rPr>
        <w:rFonts w:cs="Arial"/>
        <w:sz w:val="16"/>
        <w:szCs w:val="20"/>
      </w:rPr>
      <w:t>17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