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Healthcare Limited - Lynton Lodge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Lynton Lodge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2018</w:t>
      </w:r>
      <w:bookmarkEnd w:id="7"/>
      <w:r w:rsidRPr="009418D4">
        <w:rPr>
          <w:rFonts w:cs="Arial"/>
        </w:rPr>
        <w:tab/>
        <w:t xml:space="preserve">End date: </w:t>
      </w:r>
      <w:bookmarkStart w:id="8" w:name="AuditEndDate"/>
      <w:r w:rsidR="00A4268A">
        <w:rPr>
          <w:rFonts w:cs="Arial"/>
        </w:rPr>
        <w:t>14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Lynton Lodge Hospital is certified to provide hospital (geriatric and medical) level care and residential disability services – physical.  There were 36 residents at Lynton Lodge on the day of audit.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There is a general manager who provides oversight of Lynton Lodge and two other facilities.  The clinical manager is full time at Lynton Lodge.   </w:t>
      </w:r>
    </w:p>
    <w:p w:rsidRPr="00A4268A">
      <w:pPr>
        <w:spacing w:before="240" w:line="276" w:lineRule="auto"/>
        <w:rPr>
          <w:rFonts w:eastAsia="Calibri"/>
        </w:rPr>
      </w:pPr>
      <w:r w:rsidRPr="00A4268A">
        <w:rPr>
          <w:rFonts w:eastAsia="Calibri"/>
        </w:rPr>
        <w:t xml:space="preserve">The service has an established quality and risk management system.  Residents and family interviewed, commented positively on the standard of care and services provided.  </w:t>
      </w:r>
    </w:p>
    <w:p w:rsidRPr="00A4268A">
      <w:pPr>
        <w:spacing w:before="240" w:line="276" w:lineRule="auto"/>
        <w:rPr>
          <w:rFonts w:eastAsia="Calibri"/>
        </w:rPr>
      </w:pPr>
      <w:r w:rsidRPr="00A4268A">
        <w:rPr>
          <w:rFonts w:eastAsia="Calibri"/>
        </w:rPr>
        <w:t>Four of the six shortfalls identified as part of the previous audit have been addressed.  These were around: privacy during handover, medication management, water temperatures and restraint.  There continues to be an improvement required around consent forms and meeting timeframes.</w:t>
      </w:r>
    </w:p>
    <w:p w:rsidRPr="00A4268A">
      <w:pPr>
        <w:spacing w:before="240" w:line="276" w:lineRule="auto"/>
        <w:rPr>
          <w:rFonts w:eastAsia="Calibri"/>
        </w:rPr>
      </w:pPr>
      <w:r w:rsidRPr="00A4268A">
        <w:rPr>
          <w:rFonts w:eastAsia="Calibri"/>
        </w:rPr>
        <w:t>This audit has identified a further area requiring improvement around implementation of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confirmed they are provided with adequate information and that communication is open.  </w:t>
      </w:r>
    </w:p>
    <w:p w:rsidRPr="00A4268A">
      <w:pPr>
        <w:spacing w:before="240" w:line="276" w:lineRule="auto"/>
        <w:rPr>
          <w:rFonts w:eastAsia="Calibri"/>
        </w:rPr>
      </w:pPr>
      <w:r w:rsidRPr="00A4268A">
        <w:rPr>
          <w:rFonts w:eastAsia="Calibri"/>
        </w:rPr>
        <w:t xml:space="preserve">Communication records are maintained in each resident record.  Residents are informed of the complaints process and there are policies and procedures in place to investigate complaints.  Complaints reviewed are responded to and closed out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general manager and a clinical manager who provide operational management for the service.  </w:t>
      </w:r>
    </w:p>
    <w:p w:rsidRPr="00A4268A">
      <w:pPr>
        <w:spacing w:before="240" w:line="276" w:lineRule="auto"/>
        <w:rPr>
          <w:rFonts w:eastAsia="Calibri"/>
        </w:rPr>
      </w:pPr>
      <w:r w:rsidRPr="00A4268A">
        <w:rPr>
          <w:rFonts w:eastAsia="Calibri"/>
        </w:rPr>
        <w:t xml:space="preserve">There is an implemented quality and risk management programme.  Adverse, unplanned, and untoward events are documented by staff and reviewed by the clinical manager.  All aspects of the quality programme are discussed at relevant meetings.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 staff education and training programme is embedded into practice.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w:t>
      </w:r>
    </w:p>
    <w:p w:rsidRPr="00A4268A">
      <w:pPr>
        <w:spacing w:before="240" w:line="276" w:lineRule="auto"/>
        <w:rPr>
          <w:rFonts w:eastAsia="Calibri"/>
        </w:rPr>
      </w:pPr>
      <w:r w:rsidRPr="00A4268A">
        <w:rPr>
          <w:rFonts w:eastAsia="Calibri"/>
        </w:rPr>
        <w:t xml:space="preserve">A maintenance person has responsibility for the maintenance and repairs of the facility.  There is a planned maintenance schedule in place.  Electrical testing is completed annually.  Clinical equipment has been calibrated.  There is sufficient space for residents to safely mobilise using mobility aids and communal areas are easily accessible.  There is safe access to the outdoor areas.  Seating and shade is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around restraint minimisation and use of enablers.  The approval process for enabler use is activated when a resident voluntarily requests an enabler to assist them to maintain independence and/or safety.  There were no residents using enablers and three using restraint on audit day.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nurse manager and RNs discuss informed consent processes with residents and their families during the admission process.  Resuscitation forms reviewed had not been fully completed,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and procedure guides staff in the process to obtain informed consent.  Staff ensure that all residents are aware of treatment and interventions planned for them, and the resident and/or significant others are included in the planning of that care.  Consent forms include van outings.  All five resident files included a signed consent form;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(three healthcare assistants, three RNs and the DT) confirmed their understanding of informed consent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on admission.  Interviews with residents and family members confirmed their understanding of the complaints process.  Staff interviewed were also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Two complaints for 2018 were reviewed.  All were fully investigated by the clinical and general manager, with evidence of resolution of issues recorded and documentation confirming that the complainant was satisfied with the outcome of the investigation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manager confirmed that there have not been any complaints from external authorities since the last audit.  There have not been any cases referred to a coroner for investigation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discussed at relevant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managers were interviewed including the following: general manager; clinical manager; three healthcare assistants; diversional therapist; three registered nurses; cook; maintenance staff member.  All could confirm knowledge of the complaints process and stated that they inform residents and family on entry to the service.  The staff also stated that if there is a complaint, then they offer the resident or family a form to document their concerns and inform the registered nurse or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Handover is now held in a room with the door shut.  Staff confirmed that this has occurred after issues were raised at the last audit.  The improvement required at the last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and the resident of any accident/incident that occurs.  Evidence of contact being maintained with families, including when an incident or care/health issue arises, is documented on the accident/incident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(six hospitals and one rest home resident) and three family were interviewed.  Interviews with residents and family confirmed that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an external provider and through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this could be read to residents.  Residents sign an admission agreement on entry to the service.  All residents stated that they are communicated with well and informed of any changes to individual care requirements or around any incidents or accidents that occur.  All stated that they can see the clinical manager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Lynton Lodge Hospital is certified to provide hospital (geriatric and medical) level care and residential disability services – physical.  There are 40 hospital beds.  There were 35 residents requiring hospital level of care and one resident requiring rest home level of care (dispensation discussed and approved by HealthCERT during the audit).  One resident identified as requiring hospital level of care is also identified as requiring residential disability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owners who own this facility and two other facilities.  They provide input into the service with one being responsible for oversight of administration including payroll services and the other for information technology and property management.  One manager visits the service during the week and can relieve for the administrator if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general manager (registered nurse) who provides oversight of the three facilities.  The clinical manager, general manager and staff confirmed that the owner and general manager are on site at this facility at various times during the week to support the clinical manager.  Two clinical managers from other facilities supported the clinical manager and general manager on the day of audit and were interviewed as part of the audit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a current practising certificate and has worked as a registered nurse for four years in aged care in New Zealand with one of those years identified as being the clinical manager.  The clinical manager transferred from a facility owned by the same company in September 2018 after the resignation of the previous clinical manager.  The CM has completed a postgraduate certificate in advanced nursing.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values and goals documented in the quality plan.  Goals are reviewed weekly, monthly and annually.  The philosophy is communicated to residents, staff and family through information in booklets and in staff orientation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the clinical manager have both attended a minimum of eight hours of professional development activities related to managing an aged care facility as confirmed through review of staff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developed by the general manager with input from the clinical managers at the three facilities.  Quality management is overseen by the organisation’s general manager and a clinical manager on site who responds to complaints received at a site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reviewed last April 2018 and now are used in all three facilities including this facility.  New and/or revised policies are made available for staff to read and sign that they have read and understand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quality goals set for all facilities and then specific quality goals for Lynton Lodge Hospital.  These particularly relate to reduction of restraint, improvement of resident care and weight management.  Progress is discussed by clinical staff and managers weekly and monthly.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meetings held including monthly staff meetings, monthly registered nurse meetings and weekly clinical quality and risk meetings with all clinical managers and the general manager in attendance.  There is monthly collating of quality and risk data with discussion at the clinical quality and risk meeting.  Data is collated and data from other facilities owned by the same owners can be viewed to identify trends, with this discussed at the weekly clinical quality meeting with the other managers involved.  This includes review of bed occupancy; audit information, complaints; incident data; high needs; admissions; staffing and clinical case review.  The general manager and clinical managers have access to all the data and analysis of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meeting minutes confirmed that quality data and results are being communicated to staff.  Staff also confirmed that they are informed of any corrective actions and quality improvements.  A resident and family satisfaction survey has not been completed since the change in ownership, however is scheduled for 2019.  There has been a family/resident meeting held in March and May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is being implemented with audits completed as per the schedule.  A review of internal audits confirmed that corrective action plans are completed, with evidence of resolution and sign off by the clinical manager.  Corrective actions are also documented as resolved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physiotherapy services are utilised.  The registered nurse meeting minutes and the review of the clinical quality and risk meeting minutes confirmed that clinical issues are discussed, including strategies to prevent and manage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plan for the service.  The goals are reviewed through the health and safety meeting held quarterly for all sites with minutes of meetings documented.  A health and safety representative is appointed, and they escalate any issues as these arise.  Staff stated that they can also escalate issues to managers as required.  Staff and clinical quality and risk management meetings confirmed that health and safety is discussed, with issues resolved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which is linked to the quality and risk management system.  Immediate actions taken are documented on accident/incident forms now documented on Leecare (electronic database).  Each incident is recorded against an individual resident, then incidents are totalled according to category.  E-forms are reviewed and investigated by the clinical manager.  These reviews are signed off in a timely manner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documentation to confirm that neurological observations are completed for any resident who has a fall involving hitting their head or for any resident who has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manager and general manager confirmed their awareness of statutory requirements in relation to essential notification.  The Ministry of Health has been informed of the appointment of the new clinical manager and of the previous clinical manager, and of any resident with a pressure injury if a grade three or above or unspecified.  During the audit the service followed up and has received confirmation that dispensation has been given to provide rest home level of care for one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nurses and visiting health professionals are kept on file and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reviewed (the clinical manager, two registered nurses, two healthcare assistants and one diversional therapist) confirmed that there is a signed employment contract on file, a current job description and documentation of orientation and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for staff are up-to-date.  Newly appointed staff complete an orientation that is specific to their job duties.  Interviews with healthcare assistants who cover the morning, afternoon and night shifts confirmed that the orientation programme included a period of supervision over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A system for determining staff competency is implemented.  Competencies for registered nurses includes medication, syringe driver and insulin administration, and all staff complete infection control and restraint competencies.  The clinical manager and two other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general manager is on site during the week to provide support for the clinical manager who works five days a week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 is rostered onto each shift with the clinical manager taking some shifts if a registered nurse is on leave.  There are six healthcare assistants in the morning (three on a short shift); four healthcare assistants on the afternoon shift (two on a short shift) and two healthcare assistants overnight.  The care facility is split into three wings (east, middle west, south) and staff work in pairs, generally with five residents each.  On the day of audit a further two hours has been rostered in the afternoon shift to support staff.  Acuity of residents is high with all except six residents requiring two hourly turns when in bed, and support for feeding and other activities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26 staff including managers.  Separate staff complete laundry and cleaning duties.  In total, there are six registered nurses, a diversional therapist, and sixteen healthcare assistants including two casual staff.  The general manager, clinical manager and two registered nurses are rostered to provide on call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The service uses a roll pack system for tablets and other medicines are pharmacy packaged.  The controlled medication register was signed by two members of staff when signing out medication, this is an improvement from the previous audit.  All medicines are stored securely when not in use.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 and senior healthcare assistants with medication administration responsibilities.  Administration sheets sampled were appropriately signed.  Ten medication charts reviewed identified that the GP had seen the resident three-monthly and the medication chart was signed each time a medicine was administered by staff.  A registered nurse was observed administering medications and followed correct procedures.  This is an improvement from the previous audit.  There are no residents self-administering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prepared and cooked in the on-site kitchen.  There is one cook and two relief cooks.  The main meal of the day is served at lunchtime.  All kitchen staff have completed food safety training.  The menu has been approved by a dietitian and the food plan has been approved.  A food services manual is available to ensure that all stages of food delivery to residents comply with standards, legislation and guidelines.  All fridges and freezer temperatures are recorded daily on the recording sheet sighted.  Food temperatures are recorded daily.  All food is served directly from the kitchen to residents in the dining room or to their rooms as required.  A tray service is available if required by residents.  All food in the freezer and fridge was labelled and dated.  Food procurement occurs from commercial operators.  Kitchen waste is collected by commercial operators.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and linked to the interRAI assessment.  Not all resident interventions were fully documented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There were nine residents with wounds at the time of the audit.  In addition, there were two grade one pressure injuries, two grade two pressure injuries and two unstageable pressure injuries.  All but one of the unstageable pressure injuries were facility acquired (four residents).  Assessments, management plans and documented reviews were in place for all wounds, two of the pressure injuries had two wounds per wound form.  Care plans for the residents with pressure injuries all documented appropriate skin and diet interventions.</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two days during the week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who works Monday to Friday.  The DT is responsible for the planning and delivery of the individual and group activities programme with assistance from staff.  There are organised activities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indoors in the lounge, in seating areas, and outdoors in the gardens when weather permits.  Group activities are varied to meet the needs of both higher functioning residents and those that require more assistance.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residents were observed being actively involved with a variety of activities.  The group activities programme is developed monthly, and a copy of the programme is available in the lounge, on noticeboards and in each resident room.  The group programme includes residents being involved within the community with social clubs, churches and schools.  Daily exercises, different cultural activities, music and song, children’s visits, and technology are features of the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Lynton Lodge has its own van for transportation.  A designated van driver drives the van and has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has specific activities documented within the planner aimed at the younger resident.  The activity staff explained that the activities are planned according to the preferences of the residents.  The one under 65 resident is assisted to visit their home most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updated.  There was documented evidence that care plan evaluations were current in resident files sampled.  Care plan reviews were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 hot water temperatures are monitored weekly and maintained between 43-45 degrees Celsius.  There are contractors for essential services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adequate numbers of accessible toilets/bathing facilities.  Visitors, toilets and communal toilets are conveniently located close to communal areas.  Communal toilet facilities have a system that indicates if it is engaged or vacant.</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toilet/shower/bathing areas, and other equipment/accessories are made available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hot water temperatures are monitored weekly and maintained between 43-45 degrees Celsius.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a surveillance procedure, process for detection of infection, infections under surveillance, outbreaks and quality and risk management.  Infection events are collected monthly and entered into an electronic system.  The infection control officer provides infection control data, trends and relevant information to the Infection Control Committee and clinical/quality meetings.  Areas for improvement are identified and corrective actions are developed and followed up.  Infection control audits are completed, and corrective actions are signed off.  Surveillance results are used to identify infection control activities and education needs within the facility.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three residents using hospital level of care using a restraint and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guidance has been given on restraint minimisation and safe practice, enabler use and prevention and/or de-escalation techniques.  Policies and procedures include definitions of restraint and enablers.  Staff education including assessing staff competency on restraint and the use of enablers has been provided within the last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goal around reducing the use of enablers and restraint.  Any use has been reviewed by the general manager and clinical manager with a significant reduction recorded over the last year.  The clinical manager continues to monitor use of restraint and those for whom restraint has been discontinued to ensure that safety for the resident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using bedrails identified as restraint and three using enablers (one resident with both a bedrail and lap belt when using a wheelchair and the other with a bedrail).  All residents using enablers restraint had an assessment and consent form signed.  Risks are identified as part of the assessment process and the whole assessment and the risk of use of restraint is integrated as part of the client record on the electronic client management system.  Restraint monitoring forms are completed on Lee care and two files reviewed, specifically for documentation of restraint, confirmed that these had been completed two hourly as per the directions.  All use of restraint and enablers been reviewed for appropriateness of current use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required at the last audit to documentation of assessments, consent, risk, care planning and monitoring of restraint have been met.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8"/>
        <w:gridCol w:w="1280"/>
        <w:gridCol w:w="6829"/>
        <w:gridCol w:w="1638"/>
        <w:gridCol w:w="20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informed consent policy and procedure guides staff in the process to obtain informed consent.  Staff ensure that all residents are aware of treatment and interventions planned for them, and the resident and/or significant others are included in the planning of that care.  Consent forms include van outings.  All five resident files included a signed consent form; this is an improvement from the previous audit.  The informed consent policy and procedure includes guidelines for consent for resuscitation/advance directives and resuscitation orders.  Consent forms for resuscitation were not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 files included resuscitation forms that were incomplete; one had not been signed by the GP and one had not been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have a fully documented and signed resuscitation status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five registered nurses plus the clinical manager.  There are two interRAI competent nurses.  The service has continued to work to ensure timeframes are met and all five resident files reviewed had an up-to-date interRAI assessment and long-term care plan.  New residents do not always have assessments and the long-term care plan documented within timeframes.  Wound care documentation included timeframes.  Assessments and evaluations have been completed (link 1.3.6.1).  This is an improvement on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initial interRAI was not completed within timeframes for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(ii) The long-term care plans were not documented with timeframes for three new residents (one rest home and two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and care plans are documented within set timeframes for new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their satisfaction with the care provided and staff were observed to be caring and attentive.  All residents had a care plan in place, however not all interventions were documented, not all residents were able to reach their calls bells and wound care documentation included two wounds in two plans, making the evaluation of individual wounds unclear.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resident goes home most days, but this is not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ii)  Call bells were not in reach for five residents in their rooms.</w:t>
            </w:r>
          </w:p>
          <w:p w:rsidR="00EB7645" w:rsidRPr="00BE00C7" w:rsidP="00BE00C7">
            <w:pPr>
              <w:pStyle w:val="OutcomeDescription"/>
              <w:spacing w:before="120" w:after="120"/>
              <w:rPr>
                <w:rFonts w:cs="Arial"/>
                <w:b w:val="0"/>
                <w:lang w:eastAsia="en-NZ"/>
              </w:rPr>
            </w:pPr>
            <w:r w:rsidRPr="00BE00C7">
              <w:rPr>
                <w:rFonts w:cs="Arial"/>
                <w:b w:val="0"/>
                <w:lang w:eastAsia="en-NZ"/>
              </w:rPr>
              <w:t>iii) Wound care charts included two wounds per form for two resident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 care and support is fully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residents have a process to summon assistance if needed, or ensure that the care plan documents alternative strategies if the resident is unable to use the call bell.</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each wound has its own wound care assessment and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Healthcare Limited - Lynton Lodge Hospital</w:t>
    </w:r>
    <w:bookmarkEnd w:id="58"/>
    <w:r>
      <w:rPr>
        <w:rFonts w:cs="Arial"/>
        <w:sz w:val="16"/>
        <w:szCs w:val="20"/>
      </w:rPr>
      <w:tab/>
      <w:t xml:space="preserve">Date of Audit: </w:t>
    </w:r>
    <w:bookmarkStart w:id="59" w:name="AuditStartDate1"/>
    <w:r>
      <w:rPr>
        <w:rFonts w:cs="Arial"/>
        <w:sz w:val="16"/>
        <w:szCs w:val="20"/>
      </w:rPr>
      <w:t>14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