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Bishopscourt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Bishopscourt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December 2018</w:t>
      </w:r>
      <w:bookmarkEnd w:id="7"/>
      <w:r w:rsidRPr="009418D4">
        <w:rPr>
          <w:rFonts w:cs="Arial"/>
        </w:rPr>
        <w:tab/>
        <w:t xml:space="preserve">End date: </w:t>
      </w:r>
      <w:bookmarkStart w:id="8" w:name="AuditEndDate"/>
      <w:r w:rsidR="00A4268A">
        <w:rPr>
          <w:rFonts w:cs="Arial"/>
        </w:rPr>
        <w:t>11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at Bishopscourt provides rest home and hospital (geriatric and medical) level care for up to 63 residents.  On the day of the audit, there were 43 residents, including two rest home residents in serviced apartments.  The service is managed by a village manager and the care centre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village manager (non-clinical) is appropriately qualified and experienced and is supported by the care centre manager (registered nurse) who oversees the care centre.    </w:t>
      </w:r>
    </w:p>
    <w:p w:rsidRPr="00A4268A">
      <w:pPr>
        <w:spacing w:before="240" w:line="276" w:lineRule="auto"/>
        <w:rPr>
          <w:rFonts w:eastAsia="Calibri"/>
        </w:rPr>
      </w:pPr>
      <w:r w:rsidRPr="00A4268A">
        <w:rPr>
          <w:rFonts w:eastAsia="Calibri"/>
        </w:rPr>
        <w:t xml:space="preserve">The service has addressed the one previous shortfall around care planning.  </w:t>
      </w:r>
    </w:p>
    <w:p w:rsidRPr="00A4268A">
      <w:pPr>
        <w:spacing w:before="240" w:line="276" w:lineRule="auto"/>
        <w:rPr>
          <w:rFonts w:eastAsia="Calibri"/>
        </w:rPr>
      </w:pPr>
      <w:r w:rsidRPr="00A4268A">
        <w:rPr>
          <w:rFonts w:eastAsia="Calibri"/>
        </w:rPr>
        <w:t>This audit has identified improvements are required around sharing information with staff, the orientation process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kept informed.  The rights of the resident and/or their family to make a complaint is understood, respected and upheld by the service.  Complaint processes are implemented, and complaints and concerns are actively managed and well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care centre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that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individually developed by the registered nurse with resident and family/whānau involvement included, where appropriate.  Care plans are evaluated six-monthly or more frequently when clinically indicated.  Residents and family interviewed confirmed that the care plans are consistent with meeting residents' needs.  The interRAI assessment tool is utilised and monitoring forms are available to assess effectively the level of risk and support required for residents.  Activities provided are meaningful and ensure that the resident maintains involved in the community.  There is a documented medication management system.  There are three-monthly GP medication reviews.  The menu is designed by a dietitian and has seasonal menus.  Dietary requirements are provided where special needs are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three hospital-level residents requiring the use of bedrails as a restraint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76"/>
        <w:gridCol w:w="1280"/>
        <w:gridCol w:w="100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responsible for ensuring all complaints (verbal or written) are fully documented and investigated.  There is an electronic complaint’s register that includes relevant information regarding the complaint.  Documentation includes follow-up letters and resolution.  The number of complaints received each month is reported monthly to staff via the various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complaints received in 2018 (year to date).  All five complaints were reviewed.  Timeframes for responding to these complaints met Health and Disability Commissioner (HDC) guidelines and all five complaints were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forms are available for residents/relatives in various places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residents (two hospital level and seven rest home level) and five family (all hospital level) interviewed stated they were welcomed on entry and were given time and explanation about services.  Family members interviewed also stated they are kept informed of changes in the health status of their family member (resident) and of any incidents/accidents.  Resident/family meetings are held monthly with an advocate from Age Concern present at the meeting every three months.  The village manager and the care centre manager (CCM) have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open disclosure was sighted in all ten electronic accident/incident forms reviewed.  The service produces a newsletter for residents and relatives.  Residents and family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interpreter services for residents (and their family/whānau).  If residents or family/whānau have difficulty with written or spoken English, the interpreter services are made available.  Family and/or staff are used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Bishopscourt provides care for up to 63 residents at hospital (geriatric and medical) and rest home levels of care.  There are 43 dual-purpose beds, all based in the care centre on level one.  Twenty serviced apartments are certified for rest home level of care and are located on the ground floor.  On the day of the audit, there were 43 residents.  The care centre had 18 rest home level and 23 hospital level residents.  Two residents in the serviced apartments were rest home level.  One resident (hospital level) was on ACC and one resident (hospital level) was on respite.  The remaining residents were under the aged 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at Bishopscourt has a site-specific 2018 business plan and goals.  The quality plan is reviewed regularly throughout the year.  There is a full evaluation at the end of the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his role at Summerset since 2013.  He is supported by a care centre manager (CCM)/registered nurse (RN).  The CCM has been in the position for three weeks.  She holds post graduate qualifications in health sciences/nursing and long-term condition management and has 23 years of experience in aged care.  The CCM is supported by a clinical (nurse) lead.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have completed at least eight hours of leadership professional development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requires the implementation of a 2018 clinical audit, training and compliance calendar.  This is being implemented at Bishopscourt.  The internal audit programme covers aspects of clinical care.  Issues arising from internal audits are developed into corrective action plans.  Monthly and annual analysis of results is completed and communicated across the organisation.  There are monthly accident/incident benchmarking reports that break down the data collected across the rest home and hospital and staff incidents/accidents.  Infection control is also included as part of benchmarking across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meeting schedule that includes RN meetings (monthly), caregiver meetings (monthly or fortnightly) and quality improvement meetings (monthly).  Meeting minutes document discussions regarding internal audit results, incident trends and complaints received.  Missing in the meeting minutes was evidence of infection rates and restraint use being discussed.  </w:t>
            </w:r>
          </w:p>
          <w:p w:rsidR="00EB7645" w:rsidRPr="00BE00C7" w:rsidP="00BE00C7">
            <w:pPr>
              <w:pStyle w:val="OutcomeDescription"/>
              <w:spacing w:before="120" w:after="120"/>
              <w:rPr>
                <w:rFonts w:cs="Arial"/>
                <w:b w:val="0"/>
                <w:lang w:eastAsia="en-NZ"/>
              </w:rPr>
            </w:pPr>
            <w:r w:rsidRPr="00BE00C7">
              <w:rPr>
                <w:rFonts w:cs="Arial"/>
                <w:b w:val="0"/>
                <w:lang w:eastAsia="en-NZ"/>
              </w:rPr>
              <w:t>There is a health and safety and risk management programme in place including policies to guide practice.  The activities coordinator is the health and safety representative.  Health and safety meetings are scheduled three-monthly.  The hazard register is reviewed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Accidents and incidents are lodged electronically.  Ten resident related incident reports were reviewed.  All reports and corresponding resident files reviewed evidence that appropriate clinical care had been provided following the adverse event.  Data is linked to the organisation's benchmarking programme and is used for comparative purposes.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village manager and CCM confirmed that there is an awareness of the requirement to notify relevant authorities in relation to essential notifications.  There has been one section 31 for a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that include the recruitment and staff selection process.  Relevant checks are completed to validate the individual’s qualifications, experience and veracity.  Copies of current practising certificates are retained.  Five staff files (three RNs and two caregivers) reviewed evidenced implementation of the recruitment process, employment contracts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new staff completing designated competencies and an induction checklist.  Staff interviewed were able to describe the orientation process and remarked that new staff were adequately orientated to the service.  Missing in staff files was documented evidence that their orientation programme had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being implemented.  The competency programme is ongoing with different requirements according to work type.  A record of competencies completed is maintained in the staff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and skills mix policy is the documented rationale for determining staffing levels and skill mixes for safe service delivery.  The village manager and CCM work 40 hours per week, Monday to Friday and are available on call for any emergency issues or clinical support.  The clinical nurse lead works full time, Monday – Friday.  Her schedule is flexible to include weekend cover if required.</w:t>
            </w:r>
          </w:p>
          <w:p w:rsidR="00EB7645" w:rsidRPr="00BE00C7" w:rsidP="00BE00C7">
            <w:pPr>
              <w:pStyle w:val="OutcomeDescription"/>
              <w:spacing w:before="120" w:after="120"/>
              <w:rPr>
                <w:rFonts w:cs="Arial"/>
                <w:b w:val="0"/>
                <w:lang w:eastAsia="en-NZ"/>
              </w:rPr>
            </w:pPr>
            <w:r w:rsidRPr="00BE00C7">
              <w:rPr>
                <w:rFonts w:cs="Arial"/>
                <w:b w:val="0"/>
                <w:lang w:eastAsia="en-NZ"/>
              </w:rPr>
              <w:t>In the care centre, there is a minimum of one RN on duty 24/7 with two RNs staffed on the AM shift.   There are six caregivers on morning shifts (three long shifts and three short shift), six on the afternoon shifts (three long shifts and three short shift) and two on night shifts.  Laundry is completed separately by laundry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on duty provides oversight to the rest home residents in the serviced apartments.  One caregiver is on duty in the serviced apartments on a morning shift and one on the afternoon shift.  The night shift staff in the serviced apartments is delegated to a caregiver by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availability list ensures that staff sickness and vacant shifts are covered.  Caregivers interviewed confirmed that staff are replaced when off sick.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that staffing levels are sufficient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Bishopscourt has implemented an electronic medication system.  Ten medication charts were reviewed.  There are policies and procedures in place for safe medicine management that meet guidelines.  The registered nurse and pharmacist complete medication verification on delivery and a registered nurse completes reconciliation.  ‘As required’ medications have been prescribed on the electronic system and have documented indications for use.  Registered nurses and care staff interviewed were able to describe their role around administration of medications and completion of annual competencies.  Medications were stored safely, and medication fridges were monitored weekly.  Eye drops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and no residents self-administer.  However, not all resident medication charts meet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food control plan which expires on 28 February 2019.  The service has a large kitchen and equipment is well maintained.  There are two fully qualified chefs, and all of the kitchen hands have food handling qualifications.  There is a twelve-week seasonal menu approved by the dietitian.  Special diets are catered for and documented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information and a kitchen manual are available.  Food served on the day of audit was well presented.  The main meal is served at tea time with a light ploughman type meal served at lunchtime.  The chef interviewed reports this has had a positive impact in resident weights.  The service encourages residents to express their likes and dislikes; a register of this is kept on file, with a whiteboard for new changes.  Fridge/freezer and food temperatures are checked daily.  The kitchen was clean and all food was stored off the floor.  Chemicals were locked away.  Meals are transported to the care centre via hot boxes, food temperatures are checked on leaving the kitchen and on serving in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by a registered nurse who identifies dietary requirements and likes and dislikes.  Five files reviewed had up to date nutritional documentation and a copy was maintained in the kitchen.  All family members and residents interviewed expressed satisfaction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also stated their relative’s needs were being appropriately met.  When a resident's condition alters, the registered nurse initiates a review and if required, a GP visit or nurse specialist consultant review.  Electronic care plans are updated to reflect the resident’s current health status.  Care plans reviewed in the resident files sampled, reflected the resident’s current supports and needs.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ongoing evaluations were in place on the electronic system for all current wounds including two pressure injuries (one stage III and one stage I).  Adequate dressing supplies were sighted in the treatment rooms.  Wound care advice and support can be readily sought from the DHB wound specialist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restraint monitoring; pain monitoring;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recreational therapists to provide an activity programme across seven days for the rest home and hospital level of care residents.  Both activity persons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and has the flexibility to add other activities of interest or suggestions made by residents.  Activities meet the recreational needs of both resident groups ensuring all residents have the opportunity for outings into the community.  Other activities include a variety of exercises, newspaper reading, housie, quizzes, movies, baking, crafts and happy hours.  Community visitors include weekly entertainers, church services, volunteers and the monthly SPCA dog visit.  The recreational therapists ensure daily contact is made with residents who choose to stay in their rooms and for those residents in serviced apartments.  Specific individual activities are provided for the younger people within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centre residents continue to be invited to participate in village activities and village residents visit the care centre and participate.  The recreational therapist interviewed describes more residents (around 10-15 at times) from the serviced apartments and the wider village participating in the live entertainment, special events, and happy hours.  Some of the residents from the serviced apartments and the village play musical instruments and provide entertainment for the care centre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former community links.  Church services are held in the family/whānau room.  The service has a wheelchair van for the rest home and hospital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Monthly meetings provide an opportunity for residents to feedback on the programme.  A new initiative of having separate relatives’ meeting has been held, and provided positive feedback and suggestions for the programme.  This is planned to be held quarterly.  As a result of the relatives’ meetings, a new addition to the welcome pack has been developed to contain information on “house rules” such as timing of visits from health professionals, and streamlining communication with family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make improvements around the presentation of the planner, and more focus on small group visits for people with special interests such as auctions and the art gallery.  The residents have put a calendar together of them participating in activities and some photos from their outings.  A new initiative to send families a photograph of residents on their birthday has been well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All initial care plans reviewed had been evaluated by the registered nurses within three weeks of admission.  The GP completes three-monthly reviews.  Long-term care plan evaluations were completed six-monthly or earlier for resident health changes in all files reviewed.  There is evidence of multidisciplinary (MDT) team involvement in the reviews including input from the GP and any allied health professionals involved in the resident’s care.  Relatives are invited to attend the MDT review and asked for input if they are unable to attend.  Short-term care plans sighted have been evaluated by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on 5 May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three levels with serviced apartments on the ground floor, care centre on the first floor and independent apartments on the second level.   There is a full-time maintenance person who oversees the property and gardening team and is available on call for facility matters.  A 52-week planned maintenance schedule includes equipment checks, testing and tagging of electrical equipment and calibration of medical equipment.  There is a system in place to report maintenance and repair requests.   Hot water temperatures are tested and recorded monthly with readings maintained below 45 degrees Celsius.  Preferred contractors for essential services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an outdoor balcony with seating and shade.  The external areas are well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registered nurses interviewed stated they had all the equipment required to safely provide the care documented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has recently resigned, and a new infection control officer has been appointed during the changeover.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which documents a surveillance procedure, process for detection of infection, infections under surveillance, outbreaks and quality and risk management.  Infection events are recorded on hard copy, collected monthly, and entered onto the electronic system.  Areas for improvement are identified and corrective actions are developed and followed up.  However, there has been a gap identified in staff meeting minutes around reporting infection control data, trends and corrective actions (link 1.2.3.6).  The facility is benchmarked against other Summerset facilities of similar size and benchmarking results are fed back to the infection control officer and used to identify areas for improvement.  Surveillance results are used to identify infection control activities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monitor outcomes of the rate of urinary tract infections (UTIs), to remain under the national benchmark (previous continuous improvement).  There were no residents with UTI from December 2017 to June 2018.  There was a peak noted between June and July with no further UTIs through September or October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definitions of restraint and enabler that are congruent with the definition in NZS 8134.0.  The service has documented systems in place to ensure the use of restraint is actively minimised.  There were three hospital level residents using restraints (bedrails) and no residents using an enabler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 is the restraint coordinator.  She is new to this role.  She understands strategies around restraint minimisation.  Staff interviews and staff records evidenced guidance has been given on restraint minimisation and safe practice (RMSP), enabler usage and prevention and/or de-escalation techniques.  Staff education including assessing staff competency on RMSP/enablers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scheduled to be discussed as part of staff meetings and in separate restraint meetings, but this has not occurred since May 2018 (link 1.2.3.6).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74"/>
        <w:gridCol w:w="1280"/>
        <w:gridCol w:w="5911"/>
        <w:gridCol w:w="1988"/>
        <w:gridCol w:w="15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the departure of the previous clinical nurse manager in May 2018; infection control meetings and restraint minimisation meetings ceased.  Data relating to infections and restraint use were not minuted after this date as evidenced in the quality, RN and caregiver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relating to infections and restraint use were not minuted after May 2018 as evidenced in the quality, RN and caregiver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staff are kept informed regarding quality results, including infection control and restraint minimisation data.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management confirmed that an orientation programme is in place for new staff.  However, none of the five staff files selected for review indicated that staff had completed their orientation to the service.  The village manager reported that staff are not handing in their orientation booklets in after completing their orientation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reported that they had completed an orientation programme but there was no evidence in the five staff files reviewed to confirm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files contain documented evidence of staff completing their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medications charts on the electronic system have been charted and signed by the GP.  Each chart on the electronic system shows evidence of a three-month review, photo identification, and have allergies documented.  However, the paper medication charts for two residents in the serviced apartments and one respite resident do not meet requirements.  Signing sheets have been fully completed in the paper records.  The CCM had identified the issues and has sent a notification to the GPs.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All three paper-based medication charts for two rest home level care residents in the serviced apartments and the respite resident have not been signed by the GP.</w:t>
            </w:r>
          </w:p>
          <w:p w:rsidR="00EB7645" w:rsidRPr="00BE00C7" w:rsidP="00BE00C7">
            <w:pPr>
              <w:pStyle w:val="OutcomeDescription"/>
              <w:spacing w:before="120" w:after="120"/>
              <w:rPr>
                <w:rFonts w:cs="Arial"/>
                <w:b w:val="0"/>
                <w:lang w:eastAsia="en-NZ"/>
              </w:rPr>
            </w:pPr>
            <w:r w:rsidRPr="00BE00C7">
              <w:rPr>
                <w:rFonts w:cs="Arial"/>
                <w:b w:val="0"/>
                <w:lang w:eastAsia="en-NZ"/>
              </w:rPr>
              <w:t>(ii) Allergies have not been documented on the medication charts for the two rest home residents in the serviced apartments and the respite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(iii)There was no photo identification in the paper-based medication charts for the two rest home resident files in the serviced apartments.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(i)-(iii)Ensure that paper-based medication charts are signed by the GP and contain photo identification and documented allergies.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Bishopscourt</w:t>
    </w:r>
    <w:bookmarkEnd w:id="58"/>
    <w:r>
      <w:rPr>
        <w:rFonts w:cs="Arial"/>
        <w:sz w:val="16"/>
        <w:szCs w:val="20"/>
      </w:rPr>
      <w:tab/>
      <w:t xml:space="preserve">Date of Audit: </w:t>
    </w:r>
    <w:bookmarkStart w:id="59" w:name="AuditStartDate1"/>
    <w:r>
      <w:rPr>
        <w:rFonts w:cs="Arial"/>
        <w:sz w:val="16"/>
        <w:szCs w:val="20"/>
      </w:rPr>
      <w:t>11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