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Sandringham House Limited - Sandringham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Sandringham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Sandringham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November 2018</w:t>
      </w:r>
      <w:bookmarkEnd w:id="7"/>
      <w:r w:rsidRPr="009418D4">
        <w:rPr>
          <w:rFonts w:cs="Arial"/>
        </w:rPr>
        <w:tab/>
        <w:t xml:space="preserve">End date: </w:t>
      </w:r>
      <w:bookmarkStart w:id="8" w:name="AuditEndDate"/>
      <w:r w:rsidR="00A4268A">
        <w:rPr>
          <w:rFonts w:cs="Arial"/>
        </w:rPr>
        <w:t>21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Sandringham House Rest Home is a privately-owned service that provides rest home level care for up to 21 residents.  On the day of audit there were 19 rest home residents.</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There are two owners; one is the nurse manager and the other is responsible for finance, office administration and maintenance.  The nurse manager is supported by a registered nurse.</w:t>
      </w:r>
    </w:p>
    <w:p w:rsidRPr="00A4268A">
      <w:pPr>
        <w:spacing w:before="240" w:line="276" w:lineRule="auto"/>
        <w:rPr>
          <w:rFonts w:eastAsia="Calibri"/>
        </w:rPr>
      </w:pPr>
      <w:r w:rsidRPr="00A4268A">
        <w:rPr>
          <w:rFonts w:eastAsia="Calibri"/>
        </w:rPr>
        <w:t>The service has an established quality and risk management system.  Residents and families interviewed commented positively on the standard of care and services provided.</w:t>
      </w:r>
    </w:p>
    <w:p w:rsidRPr="00A4268A">
      <w:pPr>
        <w:spacing w:before="240" w:line="276" w:lineRule="auto"/>
        <w:rPr>
          <w:rFonts w:eastAsia="Calibri"/>
        </w:rPr>
      </w:pPr>
      <w:r w:rsidRPr="00A4268A">
        <w:rPr>
          <w:rFonts w:eastAsia="Calibri"/>
        </w:rPr>
        <w:t xml:space="preserve">The service has addressed the one previous audit shortfall around observations.  </w:t>
      </w:r>
    </w:p>
    <w:p w:rsidRPr="00A4268A">
      <w:pPr>
        <w:spacing w:before="240" w:line="276" w:lineRule="auto"/>
        <w:rPr>
          <w:rFonts w:eastAsia="Calibri"/>
        </w:rPr>
      </w:pPr>
      <w:r w:rsidRPr="00A4268A">
        <w:rPr>
          <w:rFonts w:eastAsia="Calibri"/>
        </w:rPr>
        <w:t>This audit has identified no further areas required for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Care plans accommodate the choices of residents and/or their family.  Informed consent processes are implemented and documented.  A culture of open disclosure is encouraged with family interviewed, reporting they can speak to management or the registered nurse and that they are fully informed of the resident’s condition and progress, including any incidents or changes in health status.  Complaints processes are implemented and managed in line with the Code.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Sandringham House has a documented quality and risk management system that supports the provision of clinical care.  Quality data is collated for infections, incidents, internal audits, concerns and complaints, and surveys.  There are human resources policies including recruitment, job descriptions, selection, orientation and staff training and development.  The service has an orientation programme that provides new staff with relevant information for safe work practice.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clinical manager and registered nurse who also maintain and review care plans.  Care plans reviewed were individually developed with the resident, and family/whānau involvement is included where appropriate, they are evaluated six-monthly or more frequently when clinically indicated.  There is a medication management system in place that follows appropriate administration and storage practices.  Each resident is reviewed at least three-monthly by their general practitioner.  A range of individual and group activities is available and coordinated by the diversional therapist.  All meals are prepared on-site.  There is a seasonal menu in place, which is reviewed by a dietitian.  Residents' food preferences are accommodated and the residents and relatives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is a current maintenance plan and all maintenance was up to date at the time of audit.  Calibration of medical equipment occurred.  The hot water temperatures are monitored monthly.  There is sufficient room for residents to move around the facility with mobility aids.  All external areas are well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Sandringham House has restraint minimisation and safe practice policies and procedures in place.  Staff receive training in restraint minimisation and challenging behaviour management.  There were no residents with restraints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is undertaken and used to determine quality assurance activities and education needs for the facility.  The infection rate is very low.</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owner manager leads the investigation of any concerns/complaints.  Sandringham House has compliments, suggestions and complaints available at reception.  The service has responded appropriately to one complaint received in 2017 and one in 2018.  A recent health and disability complaint is currently being investigated and the service has responded in a timely manner for all requests for information within the required timeframes.  The complaints register is up-to-date.  Management operate an ‘open 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Five residents interviewed, stated that they were welcomed on entry and were given time and explanation about the services and procedures.  A review of 12 incident forms for October and November 2018, identified family were notified following a resident incident/accident.  The RN interviewed confirmed family are kept informed.  The four relatives interviewed confirmed they are notified promptly of any incidents/accidents.  Family members and residents interviewed advised that they are encouraged to discuss any concerns with the owner manager and/or registered nurse.  The service has access to an interpreter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Sandringham House Rest Home is a privately-owned service that provides rest home level care for up to 21 residents.  On the day of audit there were 19 rest home residents all under the age-related residential care services agreement.</w:t>
            </w:r>
          </w:p>
          <w:p w:rsidR="00EB7645" w:rsidRPr="00BE00C7" w:rsidP="00BE00C7">
            <w:pPr>
              <w:pStyle w:val="OutcomeDescription"/>
              <w:spacing w:before="120" w:after="120"/>
              <w:rPr>
                <w:rFonts w:cs="Arial"/>
                <w:b w:val="0"/>
                <w:lang w:eastAsia="en-NZ"/>
              </w:rPr>
            </w:pPr>
            <w:r w:rsidRPr="00BE00C7">
              <w:rPr>
                <w:rFonts w:cs="Arial"/>
                <w:b w:val="0"/>
                <w:lang w:eastAsia="en-NZ"/>
              </w:rPr>
              <w:t>There are two owners; one is the nurse manager and the other is responsible for finance, office administration and maintenance.  The nurse manager is supported by a part-time registered nurse (who works three days per week) and care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and direction of the service are documented in the business plan and progress toward goals has been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completed eight hours annually of professional development activities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fully implemented quality system utilises an external quality and risk management system facilitated by the nurse manager.  Key components of service delivery are linked to the quality and risk management system including resident satisfaction, internal audits, the management of adverse events, restraint minimisation and infection prevention and control.  Corrective action plans are developed, implemented and signed off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system includes policies and procedures that are relevant to the service types offered.  These are reviewed and updated at least two-yearly or sooner if there is a change in legislation, guidelines or industry best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staff/quality meeting is where information on quality and risk management is conveyed to staff, as well as via handover sessions.  Meeting minutes and staff interviews informed that all aspects, including numbers of incidents by category, are discussed at each meeting.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maintains a current risk register.  Health and safety policies are current and reflect current legislation.  There is a designated health and safety officer.  Health and safety actions, including discussion in meetings of issues and documentation of a hazard register specific to the service are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resident/relative surveys conducted and analysed.  The April 2018 resident/relative survey evidenced an overall satisfaction rate of 100%.  Falls prevention strategies are in place for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12 accident/incident forms for October and November 2018 were reviewed.  All incident reports and corresponding resident files evidenced appropriate clinical assessment, including neurological observations where required were completed within a timely manner.  This is an improvement on the previous audit.  Accidents/incidents were recorded in the resident progress notes.  There was documented evidence the family/whānau had been notified promptly of accidents/incidents.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actual numbers to the staff meetings.  Staff interviewed, confirmed incident and accident data are discussed and information is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management confirmed an awareness of the requirement to notify relevant authorities in relation to essential notifications.  This has not been required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Six staff files sampled (nurse manager, one registered nurse, the activities coordinator, the cook and two caregivers) contained all relevant employment documentation.  Current practising certificates were sighted for the RNs, and allied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Performance appraisals were up-to-date.  The service has an orientation programme in place that provides new staff with relevant information for safe work practice.  Staff interviewed believed new staff were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training plan in place and implemented.  Staff training is provided at least monthly and all core subjects have been covered in the programme in the past two years.  Residents stated that staff are knowledgeable and skilled.  The nurse manager is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 roster provides sufficient and appropriate coverage for the effective delivery of care and support.  There is nurse manager on duty Monday to Friday, with another RN three days per week.  On-call is managed on a rotating roster between the nurse manager and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On morning shift, one caregiver works 7.00 am to 3.00 pm and a cook caregiver role works from 6:30 am to 3:00 pm.  On afternoon shift one caregiver works 3.00 pm to 11:00 pm and a cook caregiver role works from 3.30 pm to 7:00 pm.  There is one caregiver on duty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hours are 1:20 pm to 3:00 pm five days a week.  Staff and family interviewed reported that staffing is sufficient, and that management are visible and able to be contacted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includes a medication policy and procedures that follows recognised standards and guidelines for safe medicine management.  The service uses an electronic prescribing and administration system.  All residents have individual medication orders with photo identification and allergy status documented.  The service uses a blister pack system for tablets and other medicines are pharmacy packaged.  All medicines are stored securely when not in use.  A verification check is completed by the RN against the resident’s medicine order when new medicines are supplied from the pharmacy.  Short-life medications (ie, eye drops and ointments) are dated once opened.  Education on medication management has occurred with competencies conducted for the staff with medication administration responsibilities.  Ten medication charts reviewed identified that the GP had seen the resident three-monthly and the medication chart was signed in the electronic system each time a medicine was administered by staff.  A caregiver was observed administering medications and followed correct procedures.  There was no resident’s self-medicating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 standards continue to be maintained.  All food is prepared and cooked on-site.  There are two cooks who provide cover over the week.  They have completed NZQA food safety units.  There is a caregiver on duty in the afternoons for the evening meal.  There is a four-weekly rotating menu that has been reviewed by a dietitian.  The meals are served from the kitchen directly to residents.  The cook receives notification of any resident dietary changes and requirements.  Dislikes and food allergies are known and accommodated.  The meals are well-presented, and residents confirmed that they are provided with alternative meals as per request.  Lunchtime was observed, and staff were observed assisting residents as needed.  A food control plan is in the process of verification.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were recorded daily.  Food temperatures had been taken and recorded daily.  A cleaning schedule is maintained.  All residents are weighed monthly, and any identified weight loss is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care plans were documented for all five resident’s files reviewed.  The service has implemented a new care planning template that links to the interRAI headings.  When a resident’s condition changes, the RN will initiate a GP consultation.  Staff stated that they notify family members about any changes in their relative’s health status.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the one resident with a wound.  Wound monitoring occurred as planned.  The facility has access to wound care specialist advice if required.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include a urinary continence assessment, bowel management and continence products identified for day use, night use and other management.  Specialist continence advice is available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has been in the role for four years and works 20 hours a week.  Each resident has an activities assessment (social history) and care plan, there are six monthly evaluations and attendance sheets for all activities.  The activities plan links to the interRAI assessment, with evaluations reflecting individual resident goals and progression towards meeting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posted weekly on the noticeboard.  Group activities are provided in the large communal dining room, in seating areas and outdoors in the gardens when weather permits.  Group activities are varied to meet the needs of both higher functioning residents and those that require more assistance.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residents were observed being actively involved with a variety of activities.  The activities programme includes residents being involved within the community with social clubs, churches and schools.  Activities include (but are not limited to): newspaper reading, housie, happy hour, speakers, van rides, pet therapy, games and visiting entertainers.  The facility has its own van which is used for activities and resident transportation.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is undertaken at least six-monthly or if there has been a significant change in their health status.  Long-term care plans documented a written evaluation and were updated at least six monthly.  There was documented evidence that care plan evaluations were current in resident files sampled.  The files sampled documented that the GP had reviewed residents three-monthly (for those that had been at the service longer than three months), or when requested if issues arise or their health status changes.  Short-term care plans were evident for the care and treatment of residents and had been evaluated and closed or transferred to the long-term care plan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which expires 26 August 2019.  The co-owner (spouse to the nurse manager) coordinates and undertakes maintenance.  There is a maintenance book for staff to record any maintenance/repairs/replacements required and this is signed off once completed.  There is a current maintenance plan.  Calibration of medical equipment occurs annually.  The hot water temperatures are monitored monthly.  Review of the records reveals water temperatures of 45 degrees Celsius and when out of range, corrective actions have been recorded.  There is sufficient room for residents to move around the facility with mobility aids.  All external areas are well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  The infection control coordinator (nurse manager) collects the infection rates each month.  The infection rate is very low.  The data is analysed to identify trends and determine infection control quality initiatives and education within the facility.  Infection control data is communicated to staff and management through meetings.  Care staff interviewed were knowledgeable about infection control practices.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philosophy includes that restraint is only used as a last resort.  There were no residents at the time of the audit using restraint or enablers.  The restraint policy includes a definition of enablers as voluntarily using equipment to maintain independence.  Staff have been trained in the management of behaviours that challenge.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Sandringham House Limited - Sandringham House Rest Home</w:t>
    </w:r>
    <w:bookmarkEnd w:id="58"/>
    <w:r>
      <w:rPr>
        <w:rFonts w:cs="Arial"/>
        <w:sz w:val="16"/>
        <w:szCs w:val="20"/>
      </w:rPr>
      <w:tab/>
      <w:t xml:space="preserve">Date of Audit: </w:t>
    </w:r>
    <w:bookmarkStart w:id="59" w:name="AuditStartDate1"/>
    <w:r>
      <w:rPr>
        <w:rFonts w:cs="Arial"/>
        <w:sz w:val="16"/>
        <w:szCs w:val="20"/>
      </w:rPr>
      <w:t>21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