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Mossbrae Healthcare Limited - Mossbrae Healthcare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Mossbrae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Mossbrae Healthcare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November 2018</w:t>
      </w:r>
      <w:bookmarkEnd w:id="7"/>
      <w:r w:rsidRPr="009418D4">
        <w:rPr>
          <w:rFonts w:cs="Arial"/>
        </w:rPr>
        <w:tab/>
        <w:t xml:space="preserve">End date: </w:t>
      </w:r>
      <w:bookmarkStart w:id="8" w:name="AuditEndDate"/>
      <w:r w:rsidR="00A4268A">
        <w:rPr>
          <w:rFonts w:cs="Arial"/>
        </w:rPr>
        <w:t>7 November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Mossbrae Healthcare is certified to provide hospital (geriatric and medical) and rest home level care for up to 64 residents.  On the day of audit there were 56 residents.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The facility is managed by a general manager (non-clinical), who is supported by a clinical manager (registered nurse).  There is an experienced registered nurse who supports the management team.  The general manager reports twice monthly to the facility owners, who visit the facility at least monthly.</w:t>
      </w:r>
    </w:p>
    <w:p w:rsidRPr="00A4268A">
      <w:pPr>
        <w:spacing w:before="240" w:line="276" w:lineRule="auto"/>
        <w:rPr>
          <w:rFonts w:eastAsia="Calibri"/>
        </w:rPr>
      </w:pPr>
      <w:r w:rsidRPr="00A4268A">
        <w:rPr>
          <w:rFonts w:eastAsia="Calibri"/>
        </w:rPr>
        <w:t xml:space="preserve">The service has addressed three of the seven shortfalls from the previous audit around corrective actions, food service and restraint monitoring.   Further improvements continue to be required around wound management and medicine management.  This audit also identified improvements required around reporting at meetings, reference checking and meeting timeframes.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family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general manager and a clinical manager are responsible for the day-to-day operations of the facility.  Quality and risk management processes are documented.  Quality goals are documented for the service.  Internal audits are completed. </w:t>
      </w:r>
    </w:p>
    <w:p w:rsidRPr="00A4268A">
      <w:pPr>
        <w:spacing w:before="240" w:line="276" w:lineRule="auto"/>
        <w:rPr>
          <w:rFonts w:eastAsia="Calibri"/>
        </w:rPr>
      </w:pPr>
      <w:r w:rsidRPr="00A4268A">
        <w:rPr>
          <w:rFonts w:eastAsia="Calibri"/>
        </w:rPr>
        <w:t xml:space="preserve">A health and safety programme is in place, which includes incident and accident reporting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An orientation programme is in place for new staff.   Registered nursing cover is provided 24 hours a day, 7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care plans are resident and goal orientated, and evaluated every six months or earlier if required, with input from the resident/family as appropriate.  Allied health and a team approach are evident in the resident files reviewed.  The general practitioner reviews residents at least three monthly.  </w:t>
      </w:r>
    </w:p>
    <w:p w:rsidRPr="00A4268A" w:rsidP="00621629">
      <w:pPr>
        <w:spacing w:before="240" w:line="276" w:lineRule="auto"/>
        <w:rPr>
          <w:rFonts w:eastAsia="Calibri"/>
        </w:rPr>
      </w:pPr>
      <w:r w:rsidRPr="00A4268A">
        <w:rPr>
          <w:rFonts w:eastAsia="Calibri"/>
        </w:rPr>
        <w:t xml:space="preserve">The activity coordinators implement the activity programme in the rest home/hospital to meet the individual needs, preferences and abilities of the residents.  Residents are encouraged to maintain community links.  There are entertainers, outings, and celebrations.  </w:t>
      </w:r>
    </w:p>
    <w:p w:rsidRPr="00A4268A" w:rsidP="00621629">
      <w:pPr>
        <w:spacing w:before="240" w:line="276" w:lineRule="auto"/>
        <w:rPr>
          <w:rFonts w:eastAsia="Calibri"/>
        </w:rPr>
      </w:pPr>
      <w:r w:rsidRPr="00A4268A">
        <w:rPr>
          <w:rFonts w:eastAsia="Calibri"/>
        </w:rPr>
        <w:t xml:space="preserve">There are policies and processes that describe medication management.  The registered and enrolled nurses, and senior healthcare assistants administer medications and have an annual competency assessment and receive annual education.  Medication charts are reviewed three monthly by the general practitioner.  </w:t>
      </w:r>
    </w:p>
    <w:p w:rsidRPr="00A4268A" w:rsidP="00621629">
      <w:pPr>
        <w:spacing w:before="240" w:line="276" w:lineRule="auto"/>
        <w:rPr>
          <w:rFonts w:eastAsia="Calibri"/>
        </w:rPr>
      </w:pPr>
      <w:r w:rsidRPr="00A4268A">
        <w:rPr>
          <w:rFonts w:eastAsia="Calibri"/>
        </w:rPr>
        <w:t>All meals are cooked off site by a contracted service.  Residents' food preferences, dislikes and dietary requirements are identified at admission and accommodated.  Food, fluid and nutritional needs of residents are provided in line with recognised nutritional guidelines and modified dietary needs are being met.  There is dietitian review of the menu.</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Cleaning and maintenance staff are providing appropriate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restraint procedures.  There is a documented definition of restraint and enablers that aligns with the definition in the standards.  There is a restraint register and a register for enablers.  There are currently four residents who require the use of a restraint and seven residents who have requested the use of an enabler.  Staff are trained in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and complaints process.  There are complaint forms available.  Information about complaints is provided on admission.  Interview with residents and relatives demonstrates an understanding of the complaints process.  All staff interviewed were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There were seven complaints in 2017, including two lodged with the health and disability commission (HDC).  One of these complaints is ongoing, the other has been resolved to the satisfaction of the complainant.  Five complaints have been received in 2018.  No trends were identified.  Verbal and written complaints are documented.  All complaints have documented: investigation, timelines, corrective actions when required and resolutions.  Results are fed back to complainants.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The Ministry requested follow up against aspects of a HDC complaint that included procedures for respite residents, care interventions, Code of Rights training, discharge processes and GP charting for respite residents and medication documentation.  This audit has identified issues with care interventions, GP charting and medication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provided at entry to residents and family/whānau.  Five residents interviewed (four hospital and one rest home) stated that they were welcomed on entry and were given time and explanation about the services and procedures.  The general manager and clinical manager are both available to residents and families and they promote an open-door policy.  Accident/incidents, complaints procedures and the policy and process around open disclosure alert staff to their responsibility to notify family/next of kin of any accident/incident and ensure full and frank open disclosure occurs.  Seven incident forms reviewed evidenced that family had been notified on all occasions.  Three family (hospital level) advised that they are notified of incidents and when residents’ health status change.  Residents and relatives interviewed stated they were welcomed on entry and were given time and explanation about the services and procedures.  Interpreter services are available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Mossbrae Healthcare is privately-owned, and the owners have recently purchased another age care facility.  Mossbrae is certified to provide rest home and hospital (geriatric and medical) level care for up to 64 residents (there are six rest home level beds and 58 dual purpose).  On the day of audit there were a total of 56 residents, with six rest home residents (including one on a respite care contract), and 50 residents at hospital level care.  All residents were under the ARCC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business, quality and risk management plan which has specific annual quality goals identified that link to the business plan and are reviewed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(not clinical) has been in the role since May 2018 and prior to this was the assistant manager with a quality management focus.  A clinical manager (RN) has been in the role since February 2018, and supports the general manager.  There is a job description for the clinical manager position that includes responsibilities and accountabilities.  The general manager advised that the owners visit at least monthly and are available by email or telephone at any time.  A weekly management report is completed by the general manager and forwarded to the owners.  The general manager and clinical manager have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quality and risk programme and business plan in place for 2018, which includes the service philosophy, general objectives and lists the quality activities.  A combined quality, infection control and health and safety meeting is held on a two-weekly basis with the owners, managers and clinical managers from Mossbrae and their other facility.  Quality improvements and policy review and alignment between the facilities are discussed with changes communicated at the monthly all staff meetings, as evidenced in the meeting minutes.  The service has recently developed a process and flow chart to guide the RN’s and staff around respite admission (link 1.1.13).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injuries, wounds and medication errors.  Quality and risk data, including trends in data are discussed in the two-weekly combined quality meetings, monthly registered nurse (RN) meetings and staff meetings.  An annual internal audit schedule is implemented.  Corrective actions are established, implemented and are signed off when completed.  The previous shortfall has been addressed.  Infection control data is collated monthly and reported to staff.  Staff interviewed were knowledgeable around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Resident and relative meetings are held on a quarterly basis with follow-up of issues.  Relatives interviewed confirmed that this is happening, with a meeting scheduled for the evening of the audit.  Resident meetings are held three monthly.  Resident surveys were last conducted in February and October 2018, with respondents advising that they are overall very satisfied with the care that residents receive.  A relative survey was conducted in September 2018.  Results of the surveys are available for residents and families on noticeboards, however feedback was not documented as provided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The GM is the health and safety officer.  The service collects information on resident and staff incidents and accidents.  Interviews with staff confirmed staff understanding of the quality systems, and current initiatives.  There are a variety of meetings held on a monthly basis such as all staff, allied health, RN/clinical.  Falls prevention strategies include the analysis of falls events and the identification of interventions on a case-by-case basis to minimise future falls.  Falls prevention equipment includes sensor mats and chair alarms.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 that relevant staff checks are completed to validate the individual’s qualifications, experience and veracity.  A copy of practising certificates is kept.  Six staff files selected for review included the clinical manager, one diversional therapist, two healthcare assistants (HCA), and two registered nurses (one new to the service).  The files evidenced that the required documentation, including orientation and annual performance appraisals, are all completed as required.  One staff file new to the service and annual appraisal was not required.  However, there are was no evidence of referee checks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in-service education programme for 2017 has been completed and the 2018 programme is being implemented, however, there are gaps within the education plan, with some compulsory sessions not planned for.  There has been to date, less than 50% attendance at compulsory education sessions held, however the service has implemented a new initiative to have education sessions at the end of the staff meetings and attendance has increased since this has been implemented.  The clinical manager and registered nurses can attend external training, including sessions provided by the local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of nine registered nurses, including the clinical manager, who are interRAI trained and have maintained competency.  Not all interRAI assessments have been completed within the required timeframes.  This is an ongoing area for improvement (link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include staff rationale and skill mix.  Sufficient staff are rostered on duty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registered nurses on shift in the morning and afternoon; one for each wing.  A support registered nurse works across both wings, and provides support for the management team and registered nurses and works Monday to Wednesday one week and Monday to Thursday the following week.</w:t>
            </w:r>
          </w:p>
          <w:p w:rsidR="00EB7645" w:rsidRPr="00BE00C7" w:rsidP="00BE00C7">
            <w:pPr>
              <w:pStyle w:val="OutcomeDescription"/>
              <w:spacing w:before="120" w:after="120"/>
              <w:rPr>
                <w:rFonts w:cs="Arial"/>
                <w:b w:val="0"/>
                <w:lang w:eastAsia="en-NZ"/>
              </w:rPr>
            </w:pPr>
            <w:r w:rsidRPr="00BE00C7">
              <w:rPr>
                <w:rFonts w:cs="Arial"/>
                <w:b w:val="0"/>
                <w:lang w:eastAsia="en-NZ"/>
              </w:rPr>
              <w:t>Inglis wing includes 27 hospital and 1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Argyle wing includes 23 hospital and 5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Each wing has five HCAs each morning shift, with one HCA floating between the two wings.  The Argyle wing in the afternoon, has two long shifts and two short shifts, while Inglis wing has two long shifts and three short shifts in the afternoons.  At night, there is one registered nurse on duty overnight with two HCAs across both wings.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(registered nurse) works 72 hours per fortnight Monday – Friday.  The facility manager is also a registered nurse and works full time Monday – Friday.  Interviews with residents and family members identified that staffing is adequate to meet the needs of residents.  Staff interviewed, reported concerns with staffing levels at times, but felt they had enough staff on the day of the audit due to current vacancies.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 service uses the yellow envelope system for all hospital transfers.  There are documented policies and procedures to ensure exit, discharge or transfer of residents is undertaken in a timely and safe manner.  The discharge process for respite residents includes a process to ensure medications are returned to the resident on discharge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The RNs who administer medications complete annual medication competencies.  Annual in-service education on medication is provided by the supplying pharmacist.  Medications (robotic rolls) are checked on delivery against the medication chart and any discrepancies fed back to the pharmacy.  All medications are stored safely in two medication rooms.  Standing orders are in use, however eight of the twelve GP signed directives were not dated.  One self-medicating resident had a self-medication competency completed and reviewed three monthly by the GP.  The medication fridge temperature has not been monitored daily as per policy.  All eye drops were dated on opening.  Controlled drug administration is documented in a register, however the time of administration was not always documented in the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reviewed including one respite admission.  All medication charts (except the respite admission) had photo identification and all charts included an allergy status.  The GP reviews the medication charts at least three monthly.  The administration signing sheets reviewed, identified not all medications had been signed as administered as prescribed.  The previous partial attainment continues to require addressing.  Prescribed ‘as required’ medications did not all include the indication for use.  The doses and time given is signed for on the administration sighing sheet.  The effectiveness of pain relief is documented in the electronic medication system and in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new process for the management of medications for respite residents.  A respite admission file confirmed the new process had been followed, however the file reviewed identified ‘as required’ medications did not include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Mossbrae Healthcare has a contract with an external catering company to provide all meals.  All meals and baking are done off-site and delivered to the service in hot boxes.  The external contractor is responsible for the operations of the food services including recruitment, rosters and training.  A food control plan has been verified in June 2018.  Staff have completed food safety training.  The four-weekly seasonal menus have been reviewed by the dietitian.  Registered nurses or enrolled nurses complete the nutrition profile which includes: likes and dislikes of the resident, and other special requests such as special diet requirements.  This is faxed to the kitchen and alternatives are sent accordingly.  There is a whiteboard in the serving kitchen with resident’s special dietary profiles.  This can be viewed only by the kitchen staff.  Special diets being catered for include: pureed and soft diets.  Dietary requirements around ethnicities and religious needs are supported.  Dislikes and food allergies are known and accommodated.  There is a kitchen in both wings and meals are served from the bain marie in the kitchen to residents in the dining room and in resident rooms.  There is specialised crockery and cutlery for use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refrigerators, chillers, freezers and end-cooked foods are monitored and recorded daily.  All food is stored appropriately.  A cleaning schedule is maintained.  The previous partial attainment has been addressed.  Residents have the opportunity to provide feedback at resident meetings and surveys.  Residents interviewed had mixed comments on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tool and paper-based assessments are being utilised for assessments and outcomes and are reflected into the long-term care plans.  Residents’ long-term care plans reviewed were resident-focused and individualised.  Care plans documented supports/needs to reflect the resident’s current health status, however not all care plans included interventions to support all assessed needs.  The previous partial attainment continues to require addressing.  Relatives and residents interviewed, confirmed they were involved in the care planning process.  Long-term care plans evidenced resident and/or relative and staff input into the development of care plans.  Care plans are reviewed six monthly or sooner and updated to reflect changes to supports/needs.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sighted for short-term needs such as weight loss, wounds etc and these were either resolved or transferred to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are documented on the contact with family member record page held within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Wound management policies and procedures are in place.  A wound assessment and wound care plan (includes dressing type and evaluations on change of dressings) were in place for two skin tears, five ulcers and one stage two pressure injury.  There is access to a wound nurse specialist and district nurses for advice on wound management.  Vascular clinic and nurse specialists have been involved in ulcer management.  Wound management did not always follow the management plans and assessments were not always fully completed.  The previous partial attainment continues to require addressing.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included a urinary continence assessment, bowel management plan, and continence products used.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blood pressure, weight, vital signs, blood glucose and nutritional intake.  Reassessment of residents using restraint or enablers is required by policy to occur at least six monthly, however this did not always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is a qualified diversional therapist who has been working in this role for over twenty years.  She is supported by a second activities coordinator who is new to the role and works five hours per day; Monday to Friday.  The diversional therapist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life history, activity assessment and activity plan is developed soon after admission in consultation with the resident/family and reviewed six monthly in line with the resident’s care plan review/evaluation.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monthly programme developed with input and suggestions from residents provided via the residents monthly meeting.  The programme includes integrated group activities such as entertainment, canine therapy and outings.  Mossbrae Healthcare has its own van for transportation, which is used to access events in the community and those occurring at other local aged care facilities.  There is a variety of activities that meets the abilities of all residents and to meet the physical, intellectual, sensory and social needs of the residents.  Individual one-on-one time is spent with residents who choose not to join in group activity or are unable to participate in activities.  Special events and festivities are celebrated, and families are invited to attend. </w:t>
            </w:r>
          </w:p>
          <w:p w:rsidR="00EB7645" w:rsidRPr="00BE00C7" w:rsidP="00BE00C7">
            <w:pPr>
              <w:pStyle w:val="OutcomeDescription"/>
              <w:spacing w:before="120" w:after="120"/>
              <w:rPr>
                <w:rFonts w:cs="Arial"/>
                <w:b w:val="0"/>
                <w:lang w:eastAsia="en-NZ"/>
              </w:rPr>
            </w:pPr>
            <w:r w:rsidRPr="00BE00C7">
              <w:rPr>
                <w:rFonts w:cs="Arial"/>
                <w:b w:val="0"/>
                <w:lang w:eastAsia="en-NZ"/>
              </w:rPr>
              <w:t>The monthly programme is displayed on noticeboards in each wing.  Activities planned for the day are displayed on noticeboards around the facility.  Activities occur in the conservatory and lounge areas.  Residents and families have the opportunity to feedback on the activity programme through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RNs within three weeks of admission and a long-term care plan developed.  Care plans had been evaluated and were current for three of the five resident files reviewed, however not all ongoing evaluations had occurred six monthly (link 1.3.3.3).  Two residents had not been at the service six months.  Written evaluations identified if the desired goals had been met or unmet.  The GP reviews the residents at least three monthly or earlier if required.  Short-term care plans reviewed had been evaluated at regular intervals.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displays a current warrant of fitness which expires in 10 June 2019.  The facility employs a full-time maintenance person.  There are proactive and reactive maintenance management plans in place.  There is continued refurbishment of resident rooms as they are vacated.  Residents have adequate internal space to meet their needs.  External areas are safe and well maintained.  The facility van has a current warrant of fitness.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coordinator/RN oversees infection surveillance for the service.  Surveillance is an integral part of the infection control programme and is described in the infection control manual.  Monthly infection data is collected for all infections based on standard definitions as described in the surveillance policy.  Infection control data is monitored and evaluated monthly and annually.  Trends and analysis of infection events, outcomes and actions are discussed at the combined quality/health and safety and infection control meetings.  Results from laboratory tests are available monthly.  There has been one gastrointestinal outbreak in February 2018.  The outbreak was managed appropriately, and notifications made to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is applicable to the service and has recently been updated by the organisation.  There are currently four residents using restraint (bedrails and lapbelt) and seven residents using enablers (one wheelchair seatbelt, and all others are bedrails).  </w:t>
            </w:r>
          </w:p>
          <w:p w:rsidR="00EB7645" w:rsidRPr="00BE00C7" w:rsidP="00BE00C7">
            <w:pPr>
              <w:pStyle w:val="OutcomeDescription"/>
              <w:spacing w:before="120" w:after="120"/>
              <w:rPr>
                <w:rFonts w:cs="Arial"/>
                <w:b w:val="0"/>
                <w:lang w:eastAsia="en-NZ"/>
              </w:rPr>
            </w:pPr>
            <w:r w:rsidRPr="00BE00C7">
              <w:rPr>
                <w:rFonts w:cs="Arial"/>
                <w:b w:val="0"/>
                <w:lang w:eastAsia="en-NZ"/>
              </w:rPr>
              <w:t>The enabler consent is in place for the residents using an enabler.  Enablers are voluntary.  Two resident files reviewed had completed documentation relating to assessments, monitoring and review of enablers, however not all risks associated with the use of the enablers are documented in the long-term care plan (link 1.3.5.2).  Monitoring is occurring in line with the instruction on the care plans.  Restraint/enabler training has been provided in June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reviewed have a completed assessment form that reflects risk, and when monitoring timeframes, however, care plans do not document the risks associated to minimise the risk of harm to the resident (link 1.3.5.2).  Monitoring forms document when monitoring has occurred on an hourly basis as per the assessment form.  This is an improvement on the previous audit.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27"/>
        <w:gridCol w:w="1280"/>
        <w:gridCol w:w="5238"/>
        <w:gridCol w:w="2655"/>
        <w:gridCol w:w="15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responsible for collecting adverse event data and implementation of the internal audit programme, as per the internal audit schedule.  Survey data is collected, and corrective plans documented, but there is little documented evidence to support that this data is being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of discussion of survey results and related corrective actions discussed at staff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informed of survey results and corrective actions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confirmed reference checks are performed, however these are verbal only and not formally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Reference checks are verbal but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reference checks and keep on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education sessions held and competencies are completed by staff such as chemical training, medication, moving and handling and restraint.  Health &amp; Disability and code of rights training was last provided in February 2018 with attendance of seven staff (link 1.1.13).  However not all compulsory education sessions have been planned for or provided in the last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not provided training around falls prevention, abuse and neglect, culture, pressure injury prevention, challenging behaviours in the last two years.  An education session is planned for the end of the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compulsory education is provided.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medications are prescribed correctly.  Seven of ten charts with ‘as required’ medications reviewed included the indication for use prescribed on the medication chart.  Medication charts have been reviewed by the GP three monthly.  The pharmacist completes a weekly stocktake of medications with the RN.  Gaps were identified in medication signing sheets.  Medication storage fridges were monitored, but not daily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Eight of twelve GP standing orders were not dated.</w:t>
            </w:r>
          </w:p>
          <w:p w:rsidR="00EB7645" w:rsidRPr="00BE00C7" w:rsidP="00BE00C7">
            <w:pPr>
              <w:pStyle w:val="OutcomeDescription"/>
              <w:spacing w:before="120" w:after="120"/>
              <w:rPr>
                <w:rFonts w:cs="Arial"/>
                <w:b w:val="0"/>
                <w:lang w:eastAsia="en-NZ"/>
              </w:rPr>
            </w:pPr>
            <w:r w:rsidRPr="00BE00C7">
              <w:rPr>
                <w:rFonts w:cs="Arial"/>
                <w:b w:val="0"/>
                <w:lang w:eastAsia="en-NZ"/>
              </w:rPr>
              <w:t>ii)  Two of ten medication signing sheets identified that medication has not always been signed as administered.</w:t>
            </w:r>
          </w:p>
          <w:p w:rsidR="00EB7645" w:rsidRPr="00BE00C7" w:rsidP="00BE00C7">
            <w:pPr>
              <w:pStyle w:val="OutcomeDescription"/>
              <w:spacing w:before="120" w:after="120"/>
              <w:rPr>
                <w:rFonts w:cs="Arial"/>
                <w:b w:val="0"/>
                <w:lang w:eastAsia="en-NZ"/>
              </w:rPr>
            </w:pPr>
            <w:r w:rsidRPr="00BE00C7">
              <w:rPr>
                <w:rFonts w:cs="Arial"/>
                <w:b w:val="0"/>
                <w:lang w:eastAsia="en-NZ"/>
              </w:rPr>
              <w:t>iii) Three of ten ‘as required’ medications did not include the reason for administration (including the respite file).</w:t>
            </w:r>
          </w:p>
          <w:p w:rsidR="00EB7645" w:rsidRPr="00BE00C7" w:rsidP="00BE00C7">
            <w:pPr>
              <w:pStyle w:val="OutcomeDescription"/>
              <w:spacing w:before="120" w:after="120"/>
              <w:rPr>
                <w:rFonts w:cs="Arial"/>
                <w:b w:val="0"/>
                <w:lang w:eastAsia="en-NZ"/>
              </w:rPr>
            </w:pPr>
            <w:r w:rsidRPr="00BE00C7">
              <w:rPr>
                <w:rFonts w:cs="Arial"/>
                <w:b w:val="0"/>
                <w:lang w:eastAsia="en-NZ"/>
              </w:rPr>
              <w:t>iv) The temperature of the medication fridges is not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The controlled drug register did not include the time of administration for four entries.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The assessment of the one self-medicating resident had not been reviewed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standing orders are reviewed, signed and dated annually.</w:t>
            </w:r>
          </w:p>
          <w:p w:rsidR="00EB7645" w:rsidRPr="00BE00C7" w:rsidP="00BE00C7">
            <w:pPr>
              <w:pStyle w:val="OutcomeDescription"/>
              <w:spacing w:before="120" w:after="120"/>
              <w:rPr>
                <w:rFonts w:cs="Arial"/>
                <w:b w:val="0"/>
                <w:lang w:eastAsia="en-NZ"/>
              </w:rPr>
            </w:pPr>
            <w:r w:rsidRPr="00BE00C7">
              <w:rPr>
                <w:rFonts w:cs="Arial"/>
                <w:b w:val="0"/>
                <w:lang w:eastAsia="en-NZ"/>
              </w:rPr>
              <w:t>ii)  Ensure medication signing sheets document the administration of prescribed medications.</w:t>
            </w:r>
          </w:p>
          <w:p w:rsidR="00EB7645" w:rsidRPr="00BE00C7" w:rsidP="00BE00C7">
            <w:pPr>
              <w:pStyle w:val="OutcomeDescription"/>
              <w:spacing w:before="120" w:after="120"/>
              <w:rPr>
                <w:rFonts w:cs="Arial"/>
                <w:b w:val="0"/>
                <w:lang w:eastAsia="en-NZ"/>
              </w:rPr>
            </w:pPr>
            <w:r w:rsidRPr="00BE00C7">
              <w:rPr>
                <w:rFonts w:cs="Arial"/>
                <w:b w:val="0"/>
                <w:lang w:eastAsia="en-NZ"/>
              </w:rPr>
              <w:t>iii) Ensure all ‘as required’ medications include a reason for administration.</w:t>
            </w:r>
          </w:p>
          <w:p w:rsidR="00EB7645" w:rsidRPr="00BE00C7" w:rsidP="00BE00C7">
            <w:pPr>
              <w:pStyle w:val="OutcomeDescription"/>
              <w:spacing w:before="120" w:after="120"/>
              <w:rPr>
                <w:rFonts w:cs="Arial"/>
                <w:b w:val="0"/>
                <w:lang w:eastAsia="en-NZ"/>
              </w:rPr>
            </w:pPr>
            <w:r w:rsidRPr="00BE00C7">
              <w:rPr>
                <w:rFonts w:cs="Arial"/>
                <w:b w:val="0"/>
                <w:lang w:eastAsia="en-NZ"/>
              </w:rPr>
              <w:t>iv) Document medication fridge temperatures daily as per policy.</w:t>
            </w:r>
          </w:p>
          <w:p w:rsidR="00EB7645" w:rsidRPr="00BE00C7" w:rsidP="00BE00C7">
            <w:pPr>
              <w:pStyle w:val="OutcomeDescription"/>
              <w:spacing w:before="120" w:after="120"/>
              <w:rPr>
                <w:rFonts w:cs="Arial"/>
                <w:b w:val="0"/>
                <w:lang w:eastAsia="en-NZ"/>
              </w:rPr>
            </w:pPr>
            <w:r w:rsidRPr="00BE00C7">
              <w:rPr>
                <w:rFonts w:cs="Arial"/>
                <w:b w:val="0"/>
                <w:lang w:eastAsia="en-NZ"/>
              </w:rPr>
              <w:t>v)  Ensure the controlled drug register includes the time of administration.</w:t>
            </w:r>
          </w:p>
          <w:p w:rsidR="00EB7645" w:rsidRPr="00BE00C7" w:rsidP="00BE00C7">
            <w:pPr>
              <w:pStyle w:val="OutcomeDescription"/>
              <w:spacing w:before="120" w:after="120"/>
              <w:rPr>
                <w:rFonts w:cs="Arial"/>
                <w:b w:val="0"/>
                <w:lang w:eastAsia="en-NZ"/>
              </w:rPr>
            </w:pPr>
            <w:r w:rsidRPr="00BE00C7">
              <w:rPr>
                <w:rFonts w:cs="Arial"/>
                <w:b w:val="0"/>
                <w:lang w:eastAsia="en-NZ"/>
              </w:rPr>
              <w:t>vi) Ensure self-medicating residents are assessed for competency six-monthly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are responsible for completing the initial assessment and initial care plans on admission, however the respite resident did not have these documented within contractual timeframes (also link 1.1.13).  All files reviewed had current interRAI assessments and long-term care plans but not all ongoing assessments and evaluations had been completed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An initial assessment and care plan were not completed for the respite resident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ii)  Ongoing interRAI assessments were not completed six monthly for three of four long-term residents.</w:t>
            </w:r>
          </w:p>
          <w:p w:rsidR="00EB7645" w:rsidRPr="00BE00C7" w:rsidP="00BE00C7">
            <w:pPr>
              <w:pStyle w:val="OutcomeDescription"/>
              <w:spacing w:before="120" w:after="120"/>
              <w:rPr>
                <w:rFonts w:cs="Arial"/>
                <w:b w:val="0"/>
                <w:lang w:eastAsia="en-NZ"/>
              </w:rPr>
            </w:pPr>
            <w:r w:rsidRPr="00BE00C7">
              <w:rPr>
                <w:rFonts w:cs="Arial"/>
                <w:b w:val="0"/>
                <w:lang w:eastAsia="en-NZ"/>
              </w:rPr>
              <w:t>iii) Evaluations have not always been completed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initial assessments are completed within 24 hours and initial care plans within 48 hours of admission.</w:t>
            </w:r>
          </w:p>
          <w:p w:rsidR="00EB7645" w:rsidRPr="00BE00C7" w:rsidP="00BE00C7">
            <w:pPr>
              <w:pStyle w:val="OutcomeDescription"/>
              <w:spacing w:before="120" w:after="120"/>
              <w:rPr>
                <w:rFonts w:cs="Arial"/>
                <w:b w:val="0"/>
                <w:lang w:eastAsia="en-NZ"/>
              </w:rPr>
            </w:pPr>
            <w:r w:rsidRPr="00BE00C7">
              <w:rPr>
                <w:rFonts w:cs="Arial"/>
                <w:b w:val="0"/>
                <w:lang w:eastAsia="en-NZ"/>
              </w:rPr>
              <w:t>ii)  Ensure interRAI assessments are reviewed at least six monthly or sooner for changes in health.</w:t>
            </w:r>
          </w:p>
          <w:p w:rsidR="00EB7645" w:rsidRPr="00BE00C7" w:rsidP="00BE00C7">
            <w:pPr>
              <w:pStyle w:val="OutcomeDescription"/>
              <w:spacing w:before="120" w:after="120"/>
              <w:rPr>
                <w:rFonts w:cs="Arial"/>
                <w:b w:val="0"/>
                <w:lang w:eastAsia="en-NZ"/>
              </w:rPr>
            </w:pPr>
            <w:r w:rsidRPr="00BE00C7">
              <w:rPr>
                <w:rFonts w:cs="Arial"/>
                <w:b w:val="0"/>
                <w:lang w:eastAsia="en-NZ"/>
              </w:rPr>
              <w:t>iii) Ensure long-term care plans are evaluated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reviewed have a care plan in place, and staff are aware of care needs for all residents (also link 1.1.13).  However, not all care plans included interventions to support all assessed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residents (one hospital and one RH) with a history of falls did not include all interventions or strategies required to minimise the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hospital respite resident with pain did not include interventions to manage all aspects of pain relief.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hospital resident with weight loss did not have interventions documented to support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(iv) One hospital resident using an enabler (bedrails) did not document the associated risks.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 (iv) Ensure that long-term care plans include interventions to manage and support all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wound assessment, treatment and evaluations are completed for seven of eight wounds.  Three of eight wound assessments, wound management plans and evaluations reviewed are fully completed and follow the management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eight wound assessment, treatment and evaluation forms do not document achievement towards the wound healing process with each dressing change.</w:t>
            </w:r>
          </w:p>
          <w:p w:rsidR="00EB7645" w:rsidRPr="00BE00C7" w:rsidP="00BE00C7">
            <w:pPr>
              <w:pStyle w:val="OutcomeDescription"/>
              <w:spacing w:before="120" w:after="120"/>
              <w:rPr>
                <w:rFonts w:cs="Arial"/>
                <w:b w:val="0"/>
                <w:lang w:eastAsia="en-NZ"/>
              </w:rPr>
            </w:pPr>
            <w:r w:rsidRPr="00BE00C7">
              <w:rPr>
                <w:rFonts w:cs="Arial"/>
                <w:b w:val="0"/>
                <w:lang w:eastAsia="en-NZ"/>
              </w:rPr>
              <w:t>(ii) Five of eight wound were not redressed at the documented frequency.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One resident using an enabler had not been reviewed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plan for each wound monitors progress towards the wound healing process.</w:t>
            </w:r>
          </w:p>
          <w:p w:rsidR="00EB7645" w:rsidRPr="00BE00C7" w:rsidP="00BE00C7">
            <w:pPr>
              <w:pStyle w:val="OutcomeDescription"/>
              <w:spacing w:before="120" w:after="120"/>
              <w:rPr>
                <w:rFonts w:cs="Arial"/>
                <w:b w:val="0"/>
                <w:lang w:eastAsia="en-NZ"/>
              </w:rPr>
            </w:pPr>
            <w:r w:rsidRPr="00BE00C7">
              <w:rPr>
                <w:rFonts w:cs="Arial"/>
                <w:b w:val="0"/>
                <w:lang w:eastAsia="en-NZ"/>
              </w:rPr>
              <w:t>(ii) Ensure all wounds are redressed at the frequency documented on the wound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iii)  Ensure all residents using enablers or restraint are reviewed at least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Mossbrae Healthcare Limited - Mossbrae Healthcare</w:t>
    </w:r>
    <w:bookmarkEnd w:id="58"/>
    <w:r>
      <w:rPr>
        <w:rFonts w:cs="Arial"/>
        <w:sz w:val="16"/>
        <w:szCs w:val="20"/>
      </w:rPr>
      <w:tab/>
      <w:t xml:space="preserve">Date of Audit: </w:t>
    </w:r>
    <w:bookmarkStart w:id="59" w:name="AuditStartDate1"/>
    <w:r>
      <w:rPr>
        <w:rFonts w:cs="Arial"/>
        <w:sz w:val="16"/>
        <w:szCs w:val="20"/>
      </w:rPr>
      <w:t>7 November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