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 Comfort Care Limited - Glenhaven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 Comfort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Glenhaven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November 2018</w:t>
      </w:r>
      <w:bookmarkEnd w:id="7"/>
      <w:r w:rsidRPr="009418D4">
        <w:rPr>
          <w:rFonts w:cs="Arial"/>
        </w:rPr>
        <w:tab/>
        <w:t xml:space="preserve">End date: </w:t>
      </w:r>
      <w:bookmarkStart w:id="8" w:name="AuditEndDate"/>
      <w:r w:rsidR="00A4268A">
        <w:rPr>
          <w:rFonts w:cs="Arial"/>
        </w:rPr>
        <w:t>22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Glenhaven Rest Home provides rest home level care for up to 24 residents.  On the day of the audit there were 18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The facility manager is appropriately experienced and is supported by a clinical manager (registered nurse) who oversees the residents’ clinical cares.  Quality systems are being implemented.  Feedback from residents and families was very positive about the care and services provided.</w:t>
      </w:r>
    </w:p>
    <w:p w:rsidRPr="00A4268A">
      <w:pPr>
        <w:spacing w:before="240" w:line="276" w:lineRule="auto"/>
        <w:rPr>
          <w:rFonts w:eastAsia="Calibri"/>
        </w:rPr>
      </w:pPr>
      <w:r w:rsidRPr="00A4268A">
        <w:rPr>
          <w:rFonts w:eastAsia="Calibri"/>
        </w:rPr>
        <w:t>This audit identified the service has fully attained all standards.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 (HDC) Code of Health and Disability Services Consumers' Rights (the Code) is displayed in visible locations and in the entry to services information that is provided to residents and families.  Policies are implemented to support rights such as privacy, dignity, abuse and neglect, culture, values and beliefs, complaints, advocacy and informed consent.  Care planning accommodates individual choices of residents and/or their family.  Residents interviewed spoke positively about the care provided.  Complaints processes are implemented, and complaints and concerns are managed.  Staff training reinforces a sound understanding of residents’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implemented quality and risk management system includes the management of complaints, implementation of an internal audit schedule, monitoring incidents and accidents, review of infections, and the review of health and safety systems.  </w:t>
      </w:r>
    </w:p>
    <w:p w:rsidRPr="00A4268A">
      <w:pPr>
        <w:spacing w:before="240" w:line="276" w:lineRule="auto"/>
        <w:rPr>
          <w:rFonts w:eastAsia="Calibri"/>
        </w:rPr>
      </w:pPr>
      <w:r w:rsidRPr="00A4268A">
        <w:rPr>
          <w:rFonts w:eastAsia="Calibri"/>
        </w:rPr>
        <w:t xml:space="preserve">Human resources policies are in place including a documented rationale for determining staffing levels and skill mixes.  There is an implemented orientation programme that provides new staff with relevant information for safe work practice.  There is a roster that provides sufficient and appropriate coverage for the effective delivery of care and there is sufficient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Medication competent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Residents were very satisfied with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are sufficient numbers of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There is a civil defence kit and evidence of supplies in the event of an emergency in line with civil defence guidelines.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maintains a restraint free environment.  There are policies and procedures to follow in the event that restraint or enablers were required.  On the day of the audit there were no residents using restraints or enablers.  The clinical manager is the restraint coordinator.  Restraint education is included in the staff training programme.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clinical manager is the infection control coordinator who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2"/>
        <w:gridCol w:w="1280"/>
        <w:gridCol w:w="101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Consumers’ Rights (the Code) policy and procedure is implemented.  Discussions with the facility manager, clinical manager/registered nurse (RN), two caregiver staff and one cook confirmed their familiarity with the Code.  Interviews with eight residents and three family members confirmed that the services being provided are in line with the Code.  Aspects of the Code are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resuscitation and general consent forms were evident in all five resident files reviewed.  Discussions with staff confirmed that they are familiar with the requirements to obtain informed consent for entering rooms and personal care.  Two of the five files reviewed had a designated enduring power of attorney.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and advocacy pamphlets on entry.  Nationwide Health and Disability Advocacy service information is part of the admission pack.  Interviews with the residents confirmed their understanding of the availability of advocacy services.  Caregivers and the clinical manager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 and friends are encouraged to visit the home and are not restricted to visiting times.  Residents interviewed stated that they are supported and encouraged to remain involved in the community.  During the audit, residents were observed freely coming and going from the facility.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are maintained by the facility manager using a complaint’s register.  There have been two complaints lodged in 2018 (year to date) that were reviewed.  In each case, appropriate actions were taken within the required timeframes and to the satisfaction of the complainant.  Residents and families interviewed advised that they are aware of the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information folder that includes information about the Code.  Posters display the Code and leaflets are available.  The service is able to provide information about the Code in different languages and/or in large print if requested.  Written information is given to residents and/or next of kin/enduring power of attorney (EPOA) to read with the resident and discuss.  There is opportunity to discuss this prior to entry and/or at admission with the resident, family or legal representative.  The facility manager is available to discuss concerns or complaints with residents and families at any time.  Residents interviewed stated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physical and personal privacy for residents.  During the audit, staff were observed treating residents with respect and ensuring their dignity is maintained.  Staff interviewed were able to describe how they maintain resident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staff training on privacy/dignity and abuse and neglect.  There have been no reported instances of abuse or neglect.  Care staff interviewed stated they promote independence with daily activities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ethnicity awareness policy and procedure.  The policy includes references to other Māori providers available and interpreter services.  The Māori health plan identifies the importance of whānau.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was one resident that identified as Māori.  A comprehensive and personalised cultural assessment had been completed for this resident to provide direction for staff.  This resident was interviewed and stated that her needs were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 and respond to values, beliefs and cultural differences.  Residents are supported to maintain their spiritual needs with regular on-site church services and attending other community groups as desired.  Staff attend two yearly cultural awareness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defined in job descriptions.  Staff were observed to be professional within the culture of a family environment.  Staff are trained to provide a supportive relationship based on sense of trust, security and self-esteem.  Interviews with caregivers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demonstrate a commitment to providing services of a high standard, based on the service philosophy of care.  This was observed during the day with the staff demonstrating a caring attitude to the residents.  All residents and families interviewed spoke positively about the care provided.  The service has implemented policies and procedures from a recognised aged care consultant to provide a good level of assurance that it is adhering to relevant standards.  Staff interviewed had a sound understanding of the principles of aged care and stated that they feel supported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promotes an open-door policy.  Residents confirmed on interview that the staff and management are approachable and available.  Information is provided in formats suitable for the resident and their family.  Residents and family are informed prior to entry of the scope of services and any items that are not covered by the agreement.  Communication with family members is recorded on the incident report forms and in the resident daily progress notes.  Fifteen incident forms reviewed for 2018, confirmed that family were notified following a resident incident.  Interpreters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Glenhaven Rest Home can provide care for up to 24 residents requiring care at rest home level.  On the day of audit there were 18 residents.  All the residents were under the age-related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strategic business plan (2017-2019) in place.  The business plan includes a mission statement, values and goals.  Business goals are reviewed three-monthly as per the quarterly service review.  </w:t>
            </w:r>
          </w:p>
          <w:p w:rsidR="00EB7645" w:rsidRPr="00BE00C7" w:rsidP="00BE00C7">
            <w:pPr>
              <w:pStyle w:val="OutcomeDescription"/>
              <w:spacing w:before="120" w:after="120"/>
              <w:rPr>
                <w:rFonts w:cs="Arial"/>
                <w:b w:val="0"/>
                <w:lang w:eastAsia="en-NZ"/>
              </w:rPr>
            </w:pPr>
            <w:r w:rsidRPr="00BE00C7">
              <w:rPr>
                <w:rFonts w:cs="Arial"/>
                <w:b w:val="0"/>
                <w:lang w:eastAsia="en-NZ"/>
              </w:rPr>
              <w:t>Glenhaven Rest Home is owned by the spouse of the facility manager.  He was not available during the audit.  The owner and facility manager have owned five other aged care facilities over the past 10 years.  Presently they only own and manage Glenhaven Rest Home.  The facility manager is on site five days a week and is available by phone 24/7 if not on site.  The facility manager is supported by two registered nurses (one clinical manager and one staff RN).  The clinical nurse manager provides clinical oversight of the service.  He has been in this role since July 2018.  Prior to this role he was the facility manager at this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nurse manager have maintained at least eight hours annually of professional development relating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clinical manager is the acting manager with support from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facility manager, clinical manager and staff reflected their understanding of the quality and risk management systems that have been put into place.  Policies and procedures are provided by an external consultant.  A system of document control is in place with evidence of regular reviews.  Staff are made aware of any policy changes through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and analysis of quality and risk data includes monitoring accidents and incidents, any complaints received, resident satisfaction and infection rates.  Internal audits regularly monitor compliance.  A corrective action form is completed where areas are identified for improvement.  Staff are kept informed regarding results and actions via staff meetings.  The quality programme is linked to the annual training plan with extra and impromptu training offered as issues are identified.  Annual resident satisfaction surveys are completed.  The last resident satisfaction survey results (March 2018) indicated that no corrective actions were required.</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which includes managing identified hazards.  The activities coordinator/caregiver oversees the programme.  Health and safety training begins during the new employee’s orientation.  The topic of health and safety is discussed each month in the staff meetings.  The hazard register is regularly reviewed and updated as new hazards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actions.  Fifteen incident forms reviewed for 2018 evidenced that appropriate clinical care is provided following an adverse event.  Investigations were completed, and family notified as appropriate.  All incident forms are signed off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could discuss the incident reporting process.  The clinical manager collects monthly incidents, investigates and implements corrective actions as required.  Records of events are collated per individual resident and for the facility as a whole.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confirmed that she is aware of situations in which the service would need to report and notify statutory authorities.  This has not been required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for health professionals are held.  Five staff files (one clinical nurse manager, one staff RN, two staff caregivers, one caregiver/activities coordinator) reviewed, evidenced implementation of the recruitment process, employment contracts, completed orientation and annual performance appraisals.  Staff interviewed were able to describe the orientation process and reported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and training plan in place that meets contractual requirements.  The clinical nurse manager has completed his interRAI training.  There is a minimum of one staff available 24/7 who holds a current certificate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on site five days a week and is on-call when not on site.  She contacts an RN with any clinical issues.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works three days a week (20 hours) and a second RN has recently been employed and is scheduled to work three days per week (12 hours).  This allows for an RN to be on site six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includes two caregivers on the AM shift (one long and one short).  One caregiver is rostered for the PM shift and one for the night shift.  Caregivers are also responsible for cleaning and laundry.  Interviews with caregivers and residents identified that staffing is adequate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Monday – Friday from 9:30 am – 12.00 pm.  A cook is rostered from 7:00 am – 1.00 pm and a kitchen assistant assists with the evening meal.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Personal resident information is kept confidential and cannot be viewed by other residents or members of the public.  Resident files are protected from unauthorised access.  All entries in the progress notes are legible, dated and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information they offer residents on admission.  The admission agreements reviewed meet the requirements of the ARCC.  Exclusions from the service are included in the admission agreement.  Five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was one resident self-administering on the day of audit.  All legal requirements had been met.  There are no standing orders in use.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and robotic pack system.  They are currently in the process of introducing an electronic system.  Medications are checked on arrival and any pharmacy errors recorded and fed back to the supplying pharmacy.  Medication competent caregivers administer medications.  Staff have up-to-date medication competencies completed and there has been medication education in the last year.  The medication fridge temperature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medication signing sheets.  Ten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cooks, one who works Tuesday to Saturday and one who works Sunday to Monday.  Both have current food safety certificates.  The head cook oversees the procurement of the food and management of the kitchen.  There is a well-equipped kitchen and all meals are cooked on site.  Meals are served directly from the kitchen to the dining room.  Meals going to rooms on trays have covers to keep the food warm.  Special equipment such as lipped plates is available.  On the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daily.  The cooks prepare the evening meal and leave it for the caregivers to heat and serve.  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on a whiteboard.  The four-weekly menu cycle is approved by a dietitian.  All residents and family members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approved on 26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Overall the goals were identified through the assessment process and linked to care plan interventions.  Other assessment tools in use included (but are not limited to) falls risk, pressure injury risk, pain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podiatrist, wound care specialist and mental health care team for older people.  The care staff interviewed advised that the care plans were easy to follow, and that the clinical manager always notified them of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All care plans sampled had interventions documented to meet the needs of the resident.  Care plans have been updated as residents’ needs change. </w:t>
            </w:r>
          </w:p>
          <w:p w:rsidR="00EB7645" w:rsidRPr="00BE00C7" w:rsidP="00BE00C7">
            <w:pPr>
              <w:pStyle w:val="OutcomeDescription"/>
              <w:spacing w:before="120" w:after="120"/>
              <w:rPr>
                <w:rFonts w:cs="Arial"/>
                <w:b w:val="0"/>
                <w:lang w:eastAsia="en-NZ"/>
              </w:rPr>
            </w:pPr>
            <w:r w:rsidRPr="00BE00C7">
              <w:rPr>
                <w:rFonts w:cs="Arial"/>
                <w:b w:val="0"/>
                <w:lang w:eastAsia="en-NZ"/>
              </w:rPr>
              <w:t>Residents’ falls are reported on incident forms and written in the progress notes.  Neurological observations are completed for unwitnessed falls or falls where residents hit their heads.  Family are notified.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occurs as planned.  There were two minor wounds being treated.  There were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and wounds.  Behaviour charts are available for any residents that exhibit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He is also a caregiver but is allocated 20 hours a week for activities.  He has attended activities study days but has not completed the diversional therapy course.  On the day of audit, residents were observed doing exercises, and playing games.  In the afternoon they enjoyed ‘happy hour’.</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Residents have the choice of a variety of activities in which to participate, and every effort is made to ensure activities are meaningful and tailored to residents’ needs.  These include exercises, games, quizzes, music, entertainment, outings and walks outside.</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  There is a volunteer who comes in twice weekly who assists with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Anglican Church service.  Catholics are given communion by the local parish.  There are van outings at least weekly.  The week prior to the audit they had a picnic at Mission Bay.  There are regular entertainers visiting the facility.  Special events like birthdays, Easter, Fathers’ Day, Anzac Day and the Melbourne Cup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one cat and a pet therapy team visits fortnightly.  Families also bring in their pets.</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kindergartens, scout groups and cultural groups.  The facility is just across the road from a library and mall, so residents often visit these.  Three residents did this on the day of audit and enjoyed a cup of coffee while out.</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Resident meetings are held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long-term care plans reviewed (apart from one new admission) had been evaluated by the registered nurses six monthly or when changes to care occurs.  Short-term care plans for short-term needs are evaluated and signed off as resolved or added to the long-term care plan as an ongoing problem.  Activity plans are in place for each of the residents and these are also evaluated six-monthly.  The multidisciplinary review involves the RN, GP if available and resident/family if they wish to attend.  There are three-monthly reviews by the GP for all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and mental health services for older people.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datasheets and product sheets are available.  A sharps container is available and meets the hazardous substances regulations for containers.  The hazard register identifies hazardous substances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21 February 2019.  There is no maintenance person on site but a maintenance person from another site is contacted when required.  Contractors are used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undergone annual safety testing.  Medical scales are checked annually.  Hot water temperatures have been monitored randomly in resident areas and were within the acceptable range.  Hallways, lounges and resident rooms are carpeted.  The dining room has vinyl that has recently been replaced.  The utility areas such as the kitchen, laundry and sluice rooms have vinyl flooring as well.  One ensuite, communal showers and toilets have nonslip vinyl flooring.  All corridors have safety rails and promote safe mobility with the use of mobility aids.  Residents were observed moving freely around the areas with mobility aids where required.  The external areas and gardens are well-maintained.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they have adequate equipment to safely deliver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hand basins.  Only one room has an ensuite.  There are sufficient communal toilets and showers.  Fixtures, fittings and flooring are appropriate for this setting.  Toilet/shower facilities are easy to clean.  There is ample space in toilet and shower areas to accommodate shower chairs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some rooms are certified to be double, there is currently only one room being shared by a couple.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which is used for activities.  The second lounge is slightly smaller and has shelves of books and a trolley with board games.  This is suitable for residents who prefer quieter activities or visitors.  The smaller lounge opens out onto an attractive deck.  There is a spacious dining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run by the caregivers.  The laundry is divided into a ‘dirty’ and ‘clean’ area.  There is a laundry and cleaning manual.  Cleaning and laundry services are monitored through the internal auditing system.  The cleaner’s equipment was attended at all times or locked away in the cleaner’s cupboard.  All chemicals on the cleaner’s trolley were labelled.  There is one sluice room for the disposal of soiled water or waste and the sluicing of soiled linen if required.  The sluice room and the laundry are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plans take into account emergency systems such as fire protection equipment, emergency lighting, and communication.  Fire equipment is checked annually by an approved provider.  The emergency evacuation plan and general principles of evacuation are clearly documented in the fire service approved fire evacuation plan.  A letter sighted from the New Zealand Fire Service (2004) confirms the approved evacuation scheme.  All resident areas have smoke alarms and a sprinkler system which is connected to the fire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include sufficient water stored to ensure for three litres per day for three days per resident and enough food for three days.  There is a civil defence kit and pandemic/outbreak supplies in the facility that are checked four-monthly.  Alternative energy and utility sources are available in the event of the main supplies failing and include emergency lighting and a gas BBQ that can be used for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education and training for staff includes six-monthly trial fire evacuations.  At least one staff member is on duty at all times with a current first aid certificate.  Appropriate security systems are in place.  Staff and residents interviewed confirmed they feel safe.  Call bells are located in all resident areas including bedrooms and bathrooms.  Resident interviews confirmed call bells were answered in an acceptable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Staff and residents interviewed stated that this is effective.  There is a small courtyard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infection control coordinator (ICC).  Responsibility for infection control is described in the job description.  The ICC oversees infection control for the facility and is responsible for the collation of monthly infection events and reports.  The infection control programme is reviewed annually by an external consulting company.</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completed a six-month infection control course through Waiareki Polytechnic.  He has also completed an on-line Ministry of Health (MOH) course.  There is access to infection control expertise within the DHB, the wound nurse specialist, public health, and the laboratory.  The GP monitors the use of antibiotics.  The ICC also liaises and meets regularly with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external consultant.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coordinating/providing education and training to staff.  Training on infection control is included in the orientation programme.  Staff have completed an infection control study day this year.  The ICC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ICC collates information obtained through surveillance to determine infection control activities and education needs in the facility.  Infection control data including trends, is discussed at staff and management meetings.  Meeting minutes are available to staff.  Trends are identified, analysed and preventative measures put in place.  The facility benchmarks with other facilities of a similar size.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Glenhaven Rest home has policies and procedures on restraint minimisation and safe practice.  Policy includes guidelines and definitions for use of enablers and restraint.  On the day of the audit there were no residents using restraints or enablers.  The restraint coordinator (clinical manager) confirmed that the service promotes a restraint-free environment.  Restraint education is included in the two-yearly training programme and last occurred in May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 Comfort Care Limited - Glenhaven Resthome</w:t>
    </w:r>
    <w:bookmarkEnd w:id="58"/>
    <w:r>
      <w:rPr>
        <w:rFonts w:cs="Arial"/>
        <w:sz w:val="16"/>
        <w:szCs w:val="20"/>
      </w:rPr>
      <w:tab/>
      <w:t xml:space="preserve">Date of Audit: </w:t>
    </w:r>
    <w:bookmarkStart w:id="59" w:name="AuditStartDate1"/>
    <w:r>
      <w:rPr>
        <w:rFonts w:cs="Arial"/>
        <w:sz w:val="16"/>
        <w:szCs w:val="20"/>
      </w:rPr>
      <w:t>22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