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Granger House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Granger House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November 2018</w:t>
      </w:r>
      <w:bookmarkEnd w:id="7"/>
      <w:r w:rsidRPr="009418D4">
        <w:rPr>
          <w:rFonts w:cs="Arial"/>
        </w:rPr>
        <w:tab/>
        <w:t xml:space="preserve">End date: </w:t>
      </w:r>
      <w:bookmarkStart w:id="8" w:name="AuditEndDate"/>
      <w:r w:rsidR="00A4268A">
        <w:rPr>
          <w:rFonts w:cs="Arial"/>
        </w:rPr>
        <w:t>16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Granger House Lifecare provides rest home and hospital level care for up to 70 residents. The service is operated by Heritage Lifecare Limited (HLL) and managed by a facility manager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contracted allied health provider and two general practitioners.  </w:t>
      </w:r>
    </w:p>
    <w:p w:rsidRPr="00A4268A">
      <w:pPr>
        <w:spacing w:before="240" w:line="276" w:lineRule="auto"/>
        <w:rPr>
          <w:rFonts w:eastAsia="Calibri"/>
        </w:rPr>
      </w:pPr>
      <w:r w:rsidRPr="00A4268A">
        <w:rPr>
          <w:rFonts w:eastAsia="Calibri"/>
        </w:rPr>
        <w:t xml:space="preserve">This audit has resulted in areas requiring improvement relating to care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information. Short term care plans are developed to manage any new problems that might arise. Residents and families interviewed reported being well informed and involved in care planning and evaluation.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a recreation officer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and care staff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enablers and three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West Coast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1"/>
        <w:gridCol w:w="1280"/>
        <w:gridCol w:w="92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Granger House Lifecare (Granger House)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as a component of additional training held in April 2018, 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had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Training on enduring power of attorney was held in June 2018.</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complaints have been received in 2018 and that actions taken, through to an agreed resolution, are documented and completed within the timeframes.  Action plans showed any required follow up and improvements have been made where possible. The facility manager (FM) is responsible for collating and initially responding to complaints, these are then escalated to organisational level and the Heritage Lifecare Limited (HLL) operations manager (OM) completes the required documentation within timeframes. All staff interviewed confirmed a sound understanding of the complaint process and what actions are required. There have been two complaints received from external sources since the previous audit.  Processes and timeframes have been met, and both have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Granger House and family members interviewed reported being made aware of the Code and the Nationwide Health and Disability Advocacy Service (Advocacy Service) as part of the admission information provided and discussion with staff. The Code is displayed in common areas around the facility. Information on advocacy services, how to make a complaint and feedback forms are on display in the front entrance foyer.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ensuring resident information is held securely and privately, exchanging verbal information during discussion with families and the general practitioner (GP).  When attending to personal cares, signage indicating ‘do not enter, personal cares being done’ is placed on the resident’s bedroom door.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Several mobility scooters were observed on charge around the facility, enabling residents to maintain independence and accessibility to community opportunities.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This was last presented in May 2018, as confirmed by staff and in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in Granger House at the time of audit who identified as Māori. Interviews with the resident and staff verified staff can support residents who identify as Māori to integrate their cultural values and beliefs. The principles of the Treaty of Waitangi are incorporated into day to day practice, as is the importance of whānau to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Granger House and their families verified that residents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the complex clinical care network team, physiotherapist, dieticians, district nurses, West Coast District Health Board (WCDHB) dementia services unit, and education of staff. A face to face interview with one of two GPs confirmed the service sought prompt and appropriate medical intervention when required and were responsive to medical requests. Interviews with a visiting dietician and a district nurse, confirmed the service was always responsive to requests in a professional manner.</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 All RNs had attended palliative care training and all were syringe driver competent.  There has been an increase in the availability and access to ongoing training sessions for staff.</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the compliments expressed during interviews with residents and families. Implementation of initiatives evidenced a reduction in the number of falls, infections, residents with weight loss and the number of complaints, and an increase in the number of compliments.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WCDHB. Staff knew how to access this service though reported interpreter services were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HLL with specific reference to Granger House Lifecare. The documents described annual and long-term objectives and the associated operational plans. A sample of weekly reports to the Heritage Lifecare Limited (HLL) senior management  showed adequate information to monitor performance is reported including occupancy, financial performance, emerging risks, staffing, complaints, incidents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FM who holds relevant qualifications and has been in the role for one month. Prior to her appointment, another FM was in the role, overseen by HLL management team, and had been in her position for approximately one year.  Responsibilities and accountabilities are defined in a job description and individual employment agreement. The FM confirmed knowledge of the sector, regulatory and reporting requirements and maintains currency through sector and organisational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Ministry of Health (MoH) for Young Persons with a Disability (YPD), Canterbury District Health Board (DHB) for respite, complex medical conditions, rest home and palliative care. Fifty-nine residents were receiving services under the contract at the time of the audit. Twelve rest home residents including one YPD, 47 Hospital level care residents, including three YPD. There were no palliative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an HLL interim FM will carry out all the required duties under delegated authority. During absences of key clinical staff, the clinical management is overseen by another registered nurse (RN) who is experienced in the sector and able to take responsibility for any clinical issues that may arise. Staff reported the current arrangements with HLL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 quality meetings and staff meetings. Staff reported their involvement in quality and risk management activities through audit activities, and participation at meetings. Relevant corrective actions are developed and implemented to address any shortfalls. Resident and family satisfaction surveys are completed annually. The most recent survey has not yet been analysed. The survey is at support office at the time of audit, so no outcomes were able to be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HLL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support office via the facility’s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They advised there have been six notifications of significant events made to the Ministry of Health since the previous audit, including the new appointment of the FM. All have been resolved with approved action plans in place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three-months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 Registered nurses have all completed palliative care training in 2018 and are syringe driver competent. Palliative care training was provided to four care staff in November 2018 with a plan to repeat the session early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four weeks of rosters confirmed adequate staff cover has been provided, with staff replaced in any unplanned absence.  At least one staff member on duty has a current first aid certificate and there is 24 hour/seven days a week (24//7) RN coverage in the hospital. While there has been high staff turnover in the past, current staff reported more stability with staff and satisfaction with HLL management and input and feel confident with the current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were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can be admitted to Granger House when their required level of care has been assessed and confirmed by the local Needs Assessment and Service Coordination (NASC) Service. Prospective residents and/or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WCDHB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self-administer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(4-May-2018).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was registered with the Grey District Council and expires 17-January-2019.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in the past and is enrolled to do an update.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 Staff members were observed sitting down and assisting residents with their meals in a relaxed atmosphere.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and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of Granger House are initially assessed using a range of nursing assessment tools, such as pain scale, falls risk, skin integrity, nutritional screening and depression scale, to identify any deficits and to inform initial care planning. In all files reviewed, initial assessments are completed within 24 hours of admission.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All resident files reviewed have current interRAI assessments completed by one of the three trained interRAI assessors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Reassessments were sighted in relation to residents requiring specialist input from mental health services, wound management input and weight loss, with referrals made as deemed necessary by the resident’s GP  </w:t>
            </w: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thirteen files reviewed evidenced care plans reflected the support needs of residents and the outcomes of the integrated assessment process and other relevant clinical information. In particular, the needs of the residents were identified by the interRAI assessments.</w:t>
              <w:br/>
              <w:br/>
              <w:t xml:space="preserve">These six care plans sighted consistently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Seven of thirteen files reviewed required attention to care plan documentation as they did not fully describe all the required support the residents’ needed to meet their assessed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those file referred to in 1.3.5.2, documentation, observations and interviews verified the provision of care provided to residents was consistent with their needs, goals and the plan of care. The attention to meeting a diverse range of resident’s individualised needs was evident in all areas of service provision. Residents identified as losing weight were referred to the resident’s GP, who then decided whether a referral was needed. In all cases where a referral was made, dietician input was in place. Interview with the dietician, verified the service is responsive to the requests by the dietician, and residents referred had generally begun gaining weight with the addition of supplements. Interventions sighted around residents with previous pressure injuries and wounds evidenced the services ability to manage these appropriately and heal these.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handovers or verbal one to one direction.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trained diversional therapists, six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visiting entertainers, seated volleyball, bowls, chorus group, attendance at the west coast rest home games quiz sessions and daily news updates. The activities programme is discussed at the monthly minuted residents’ meetings, and two monthly family meetings and indicated residents’ and family input is sought and responded to. A residents and family newsletters keep everyone up to date with what is happening at Granger House. Van outings are held twice a week.</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meets their needs, including the needs of the residents under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RN documents evaluations. Where progress is different from expected, the service responds by initiating changes to the plan of care. Examples of short-term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CSM sends a referral to seek specialist input. Copies of referrals were sighted in residents’ files, including to older persons’ mental health services. Referrals are followed up on a regular basis by the CSM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chemical handling training. An external company is contracted to supply and manage all chemicals and cleaning products and they also provide relevant training for staff and audit for effectiveness of chemicals. Material safety data sheets were available where chemicals are stored, and staff interviewed knew what to do should any chemical spill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any requests are appropriately actioned. Residents confirmed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communal facilities and one full ensuite bedroom. Appropriately secured and approved handrails are provided in the toilet/shower areas, and other equipment and 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personal conversations.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effectiveness of chemicals by the external contractor.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12 April 2012.  A trial evacuation takes place six-monthly with a copy sent to the New Zealand Fire Service, the most recent being on 16 August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seventy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Heating is provided by either fan or electric panel heaters in residents’ rooms and night stores in hallways and in the communal areas. Areas were warm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CSM at Granger House is the designated infection control nurse (ICN) whose role and responsibilities are defined in a job description. Infection control matters, including surveillance results, are reported monthly to the FM and tabled at the quality meeting. Infection control statistics are entered in the organisation’s electronic database and benchmarked within the organisation’s other facilities. The organisation’s quality team and operations manager are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The ICN has undertaken post graduate training in infection prevention and control and attended relevant study days, as verified in training records sighted. Well-established local networks with the infection control team at the WCDHB are available and expert advice from the organisation’s clinical and quality improvement advisor is available if additional support/information is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ESBL cases in residents admitted.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reviews all reported infections. Monthly surveillance data is collated and analysed to identify any trends, possible causative factors and required actions. Results of the surveillance programme are shared with staff via quality meetings and at staff handovers. Surveillance data is entered in the organisation’s electronic infection database.  Graphs are produced that identify trends for the current year, and comparisons against previous years which are on display in the staff room and evidences a reduction in infection rates. Data is benchmarked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(CM)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and five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In each use of restraint, the resident was at risk of falling and unable to consent to have safety bedrails in place.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FM, CM and the GP,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family/EPOA. The restraint coordinator described the documented process.  Families confirmed their involvement. The general practitioner is involved in the final decision on the safety of the use of the restraint and is part of the approval group.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the FM confirmed that the use of restraint has been reduced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4"/>
        <w:gridCol w:w="1280"/>
        <w:gridCol w:w="7244"/>
        <w:gridCol w:w="259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thirteen files reviewed did not fully describe the required support the resident needed.  Three of these concerned behaviour management. Assessments, medical diagnosis, progress notes, observations, interviews and behaviour monitoring charts indicated actual or potential episodes of challenging behaviour was being exhibited. Regular medication and pro re nata medications were prescribed, however there was no behaviour management plan in place identifying how to manage the behaviours if they occurred, nor evidence of monitoring the behaviours since the introduction of some medications. One of these residents was on a behaviour management medication that required regular blood tests, which were being undertaken. No alerts to staff about possible side effects to observe for was documented.</w:t>
            </w:r>
          </w:p>
          <w:p w:rsidR="00EB7645" w:rsidRPr="00BE00C7" w:rsidP="00BE00C7">
            <w:pPr>
              <w:pStyle w:val="OutcomeDescription"/>
              <w:spacing w:before="120" w:after="120"/>
              <w:rPr>
                <w:rFonts w:cs="Arial"/>
                <w:b w:val="0"/>
                <w:lang w:eastAsia="en-NZ"/>
              </w:rPr>
            </w:pPr>
            <w:r w:rsidRPr="00BE00C7">
              <w:rPr>
                <w:rFonts w:cs="Arial"/>
                <w:b w:val="0"/>
                <w:lang w:eastAsia="en-NZ"/>
              </w:rPr>
              <w:t>A resident requiring care round the management of incontinence had no accurate or up to date documentation to ensure management was consistent with the resident’s desired outcomes. RN management of an actual problem was as per the GP’s request. Interviews with the resident and daughter expressed dissatisfaction with the management by the RNs. The absence of documentation did not reflect a planned approach to management of the issue. The resident and family sought input from the Urology Department at the WCDHB, to rectify the immediate problem.</w:t>
            </w:r>
          </w:p>
          <w:p w:rsidR="00EB7645" w:rsidRPr="00BE00C7" w:rsidP="00BE00C7">
            <w:pPr>
              <w:pStyle w:val="OutcomeDescription"/>
              <w:spacing w:before="120" w:after="120"/>
              <w:rPr>
                <w:rFonts w:cs="Arial"/>
                <w:b w:val="0"/>
                <w:lang w:eastAsia="en-NZ"/>
              </w:rPr>
            </w:pPr>
            <w:r w:rsidRPr="00BE00C7">
              <w:rPr>
                <w:rFonts w:cs="Arial"/>
                <w:b w:val="0"/>
                <w:lang w:eastAsia="en-NZ"/>
              </w:rPr>
              <w:t>Three other files reviewed did not reflect the residents’ needs regarding management of a resident’s diabetes, congestive heart failure and an update regarding a central line.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GPs who attended residents at Granger House were interviewed, one face to face and one by phone. A high level of satisfaction with the care provided was expressed by one GP. The GP had been providing services to Granger House and overseeing the services provided by their locum doctors, for several years.  The other GP expressed concerns regarding the RNs not responding promptly to requests around residents’ care, when on site visiting clients. Two of these concerns were acknowledged by the CSM who was unaware of the third. The requests not being responded to, appear to be related to the limitations imposed by the availability of external service providers, in the region. A meeting has been organised between Granger House and the GP practice to seek a way to resolve the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do not consistently describe the required support to achieve the desired outcome identified in the assessment process. Communication with the GP does not always get passed on and care planning is not always updated as evidenced in documentation and interviews with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care plans describe the required support to meet the desired outcomes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Granger House Lifecare</w:t>
    </w:r>
    <w:bookmarkEnd w:id="58"/>
    <w:r>
      <w:rPr>
        <w:rFonts w:cs="Arial"/>
        <w:sz w:val="16"/>
        <w:szCs w:val="20"/>
      </w:rPr>
      <w:tab/>
      <w:t xml:space="preserve">Date of Audit: </w:t>
    </w:r>
    <w:bookmarkStart w:id="59" w:name="AuditStartDate1"/>
    <w:r>
      <w:rPr>
        <w:rFonts w:cs="Arial"/>
        <w:sz w:val="16"/>
        <w:szCs w:val="20"/>
      </w:rPr>
      <w:t>15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